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pPr w:horzAnchor="page" w:tblpX="1841" w:vertAnchor="page" w:tblpY="1" w:leftFromText="180" w:topFromText="0" w:rightFromText="180" w:bottomFromText="0"/>
        <w:tblW w:w="13714" w:type="dxa"/>
        <w:tblInd w:w="108" w:type="dxa"/>
        <w:tblLayout w:type="fixed"/>
        <w:tblCellMar>
          <w:left w:w="108" w:type="dxa"/>
          <w:top w:w="0" w:type="dxa"/>
          <w:right w:w="108" w:type="dxa"/>
          <w:bottom w:w="0" w:type="dxa"/>
        </w:tblCellMar>
        <w:tblLook w:val="04A0" w:firstRow="1" w:lastRow="0" w:firstColumn="1" w:lastColumn="0" w:noHBand="0" w:noVBand="1"/>
      </w:tblPr>
      <w:tblGrid>
        <w:gridCol w:w="9143"/>
        <w:gridCol w:w="4570"/>
      </w:tblGrid>
      <w:tr>
        <w:trPr/>
        <w:tblPrEx/>
        <w:tc>
          <w:tcPr>
            <w:tcW w:w="9143" w:type="dxa"/>
            <w:noWrap w:val="false"/>
            <w:textDirection w:val="lrTb"/>
          </w:tcPr>
          <w:p>
            <w:pPr>
              <w:pStyle w:val="780"/>
              <w:tabs>
                <w:tab w:val="clear" w:pos="708" w:leader="none"/>
                <w:tab w:val="left" w:pos="3105" w:leader="none"/>
              </w:tabs>
              <w:rPr>
                <w:sz w:val="28"/>
                <w:szCs w:val="28"/>
                <w:lang w:val="en-US"/>
              </w:rPr>
            </w:pPr>
            <w:r>
              <w:rPr>
                <w:sz w:val="28"/>
                <w:szCs w:val="28"/>
                <w:lang w:val="en-US"/>
              </w:rPr>
            </w:r>
            <w:r>
              <w:rPr>
                <w:sz w:val="28"/>
                <w:szCs w:val="28"/>
                <w:lang w:val="en-US"/>
              </w:rPr>
            </w:r>
            <w:r>
              <w:rPr>
                <w:sz w:val="28"/>
                <w:szCs w:val="28"/>
                <w:lang w:val="en-US"/>
              </w:rPr>
            </w:r>
          </w:p>
        </w:tc>
        <w:tc>
          <w:tcPr>
            <w:tcW w:w="4570" w:type="dxa"/>
            <w:noWrap w:val="false"/>
            <w:textDirection w:val="lrTb"/>
          </w:tcPr>
          <w:p>
            <w:pPr>
              <w:pStyle w:val="780"/>
            </w:pPr>
          </w:p>
        </w:tc>
      </w:tr>
      <w:tr>
        <w:trPr/>
        <w:tblPrEx/>
        <w:tc>
          <w:tcPr>
            <w:tcW w:w="9143" w:type="dxa"/>
            <w:noWrap w:val="false"/>
            <w:textDirection w:val="lrTb"/>
          </w:tcPr>
          <w:p>
            <w:pPr>
              <w:pStyle w:val="780"/>
              <w:tabs>
                <w:tab w:val="clear" w:pos="708" w:leader="none"/>
                <w:tab w:val="left" w:pos="3686" w:leader="none"/>
              </w:tabs>
              <w:ind w:right="-27"/>
              <w:rPr>
                <w:color w:val="000000"/>
                <w:sz w:val="28"/>
                <w:szCs w:val="28"/>
              </w:rPr>
            </w:pPr>
            <w:r>
              <w:rPr>
                <w:color w:val="000000"/>
                <w:sz w:val="28"/>
                <w:szCs w:val="28"/>
              </w:rPr>
            </w:r>
            <w:r>
              <w:rPr>
                <w:color w:val="000000"/>
                <w:sz w:val="28"/>
                <w:szCs w:val="28"/>
              </w:rPr>
            </w:r>
            <w:r>
              <w:rPr>
                <w:color w:val="000000"/>
                <w:sz w:val="28"/>
                <w:szCs w:val="28"/>
              </w:rPr>
            </w:r>
          </w:p>
        </w:tc>
        <w:tc>
          <w:tcPr>
            <w:tcW w:w="4570" w:type="dxa"/>
            <w:noWrap w:val="false"/>
            <w:textDirection w:val="lrTb"/>
          </w:tcPr>
          <w:p>
            <w:pPr>
              <w:pStyle w:val="780"/>
            </w:pPr>
          </w:p>
        </w:tc>
      </w:tr>
      <w:tr>
        <w:trPr/>
        <w:tblPrEx/>
        <w:tc>
          <w:tcPr>
            <w:tcW w:w="13713" w:type="dxa"/>
            <w:gridSpan w:val="2"/>
            <w:noWrap w:val="false"/>
            <w:textDirection w:val="lrTb"/>
          </w:tcPr>
          <w:p>
            <w:pPr>
              <w:pStyle w:val="780"/>
              <w:tabs>
                <w:tab w:val="clear" w:pos="708" w:leader="none"/>
                <w:tab w:val="left" w:pos="3686" w:leader="none"/>
              </w:tabs>
              <w:ind w:right="-27"/>
              <w:jc w:val="right"/>
              <w:rPr>
                <w:color w:val="000000"/>
                <w:sz w:val="28"/>
                <w:szCs w:val="28"/>
              </w:rPr>
            </w:pPr>
            <w:r>
              <w:rPr>
                <w:color w:val="000000"/>
                <w:sz w:val="28"/>
                <w:szCs w:val="28"/>
              </w:rPr>
            </w:r>
            <w:r>
              <w:rPr>
                <w:color w:val="000000"/>
                <w:sz w:val="28"/>
                <w:szCs w:val="28"/>
              </w:rPr>
            </w:r>
            <w:r>
              <w:rPr>
                <w:color w:val="000000"/>
                <w:sz w:val="28"/>
                <w:szCs w:val="28"/>
              </w:rPr>
            </w:r>
          </w:p>
          <w:p>
            <w:pPr>
              <w:tabs>
                <w:tab w:val="clear" w:pos="708" w:leader="none"/>
                <w:tab w:val="left" w:pos="3686" w:leader="none"/>
              </w:tabs>
              <w:ind w:right="-27"/>
              <w:jc w:val="right"/>
              <w:rPr>
                <w:color w:val="000000"/>
                <w:sz w:val="28"/>
                <w:szCs w:val="28"/>
                <w:highlight w:val="none"/>
              </w:rPr>
            </w:pPr>
            <w:r>
              <w:rPr>
                <w:color w:val="000000"/>
                <w:sz w:val="28"/>
                <w:szCs w:val="28"/>
                <w:highlight w:val="none"/>
              </w:rPr>
              <w:t xml:space="preserve">Приложение № 1</w:t>
            </w:r>
            <w:r>
              <w:rPr>
                <w:color w:val="000000"/>
                <w:sz w:val="28"/>
                <w:szCs w:val="28"/>
                <w:highlight w:val="none"/>
              </w:rPr>
            </w:r>
            <w:r>
              <w:rPr>
                <w:color w:val="000000"/>
                <w:sz w:val="28"/>
                <w:szCs w:val="28"/>
                <w:highlight w:val="none"/>
              </w:rPr>
            </w:r>
          </w:p>
          <w:p>
            <w:pPr>
              <w:tabs>
                <w:tab w:val="clear" w:pos="708" w:leader="none"/>
                <w:tab w:val="left" w:pos="3686" w:leader="none"/>
              </w:tabs>
              <w:ind w:right="-27"/>
              <w:jc w:val="right"/>
              <w:rPr>
                <w:color w:val="000000"/>
                <w:sz w:val="28"/>
                <w:szCs w:val="28"/>
              </w:rPr>
            </w:pPr>
            <w:r>
              <w:rPr>
                <w:color w:val="000000"/>
                <w:sz w:val="28"/>
                <w:szCs w:val="28"/>
                <w:highlight w:val="none"/>
              </w:rPr>
              <w:t xml:space="preserve">к приказу Министерства</w:t>
              <w:br/>
              <w:t xml:space="preserve">транспорта и дорожного хозяйства</w:t>
              <w:br/>
              <w:t xml:space="preserve">Удмуртской Республики </w:t>
              <w:br/>
              <w:t xml:space="preserve">от ______ 2025 г. № ______/____</w:t>
            </w:r>
            <w:r>
              <w:rPr>
                <w:color w:val="000000"/>
                <w:sz w:val="28"/>
                <w:szCs w:val="28"/>
              </w:rPr>
            </w:r>
            <w:r>
              <w:rPr>
                <w:color w:val="000000"/>
                <w:sz w:val="28"/>
                <w:szCs w:val="28"/>
              </w:rPr>
            </w:r>
          </w:p>
          <w:p>
            <w:pPr>
              <w:tabs>
                <w:tab w:val="clear" w:pos="708" w:leader="none"/>
                <w:tab w:val="left" w:pos="3686" w:leader="none"/>
              </w:tabs>
              <w:ind w:right="-27"/>
              <w:jc w:val="right"/>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tabs>
                <w:tab w:val="clear" w:pos="708" w:leader="none"/>
                <w:tab w:val="left" w:pos="3686" w:leader="none"/>
              </w:tabs>
              <w:ind w:right="-27"/>
              <w:jc w:val="right"/>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tabs>
                <w:tab w:val="clear" w:pos="708" w:leader="none"/>
                <w:tab w:val="left" w:pos="3686" w:leader="none"/>
              </w:tabs>
              <w:ind w:right="-27"/>
              <w:jc w:val="right"/>
              <w:rPr>
                <w:color w:val="000000"/>
                <w:sz w:val="28"/>
                <w:szCs w:val="28"/>
                <w:highlight w:val="none"/>
              </w:rPr>
            </w:pPr>
            <w:r>
              <w:rPr>
                <w:color w:val="000000"/>
                <w:sz w:val="28"/>
                <w:szCs w:val="28"/>
                <w:highlight w:val="none"/>
              </w:rPr>
            </w:r>
            <w:r>
              <w:rPr>
                <w:color w:val="000000"/>
                <w:sz w:val="28"/>
                <w:szCs w:val="28"/>
                <w:highlight w:val="none"/>
              </w:rPr>
            </w:r>
            <w:r>
              <w:rPr>
                <w:color w:val="000000"/>
                <w:sz w:val="28"/>
                <w:szCs w:val="28"/>
                <w:highlight w:val="none"/>
              </w:rPr>
            </w:r>
          </w:p>
          <w:p>
            <w:pPr>
              <w:tabs>
                <w:tab w:val="clear" w:pos="708" w:leader="none"/>
                <w:tab w:val="left" w:pos="3686" w:leader="none"/>
              </w:tabs>
              <w:ind w:right="-27"/>
              <w:jc w:val="left"/>
              <w:rPr>
                <w:color w:val="000000"/>
                <w:sz w:val="28"/>
                <w:szCs w:val="28"/>
                <w:highlight w:val="none"/>
              </w:rPr>
            </w:pPr>
            <w:r>
              <w:rPr>
                <w:color w:val="000000"/>
                <w:sz w:val="28"/>
                <w:szCs w:val="28"/>
                <w:highlight w:val="none"/>
              </w:rPr>
              <w:t xml:space="preserve">«</w:t>
            </w:r>
            <w:r>
              <w:rPr>
                <w:color w:val="000000"/>
                <w:sz w:val="28"/>
                <w:szCs w:val="28"/>
                <w:highlight w:val="none"/>
              </w:rPr>
            </w:r>
            <w:r>
              <w:rPr>
                <w:color w:val="000000"/>
                <w:sz w:val="28"/>
                <w:szCs w:val="28"/>
                <w:highlight w:val="none"/>
              </w:rPr>
            </w:r>
          </w:p>
          <w:p>
            <w:pPr>
              <w:pStyle w:val="780"/>
              <w:tabs>
                <w:tab w:val="clear" w:pos="708" w:leader="none"/>
                <w:tab w:val="left" w:pos="3686" w:leader="none"/>
              </w:tabs>
              <w:ind w:right="-27"/>
              <w:jc w:val="right"/>
              <w:rPr>
                <w:color w:val="000000"/>
                <w:sz w:val="28"/>
                <w:szCs w:val="28"/>
                <w:highlight w:val="none"/>
              </w:rPr>
            </w:pPr>
            <w:r>
              <w:rPr>
                <w:color w:val="000000"/>
                <w:sz w:val="28"/>
                <w:szCs w:val="28"/>
              </w:rPr>
              <w:t xml:space="preserve">Приложение № 1</w:t>
            </w:r>
            <w:r>
              <w:rPr>
                <w:color w:val="000000"/>
                <w:sz w:val="28"/>
                <w:szCs w:val="28"/>
                <w:highlight w:val="none"/>
              </w:rPr>
            </w:r>
            <w:r>
              <w:rPr>
                <w:color w:val="000000"/>
                <w:sz w:val="28"/>
                <w:szCs w:val="28"/>
                <w:highlight w:val="none"/>
              </w:rPr>
            </w:r>
          </w:p>
          <w:p>
            <w:pPr>
              <w:pStyle w:val="780"/>
              <w:tabs>
                <w:tab w:val="clear" w:pos="708" w:leader="none"/>
                <w:tab w:val="left" w:pos="3686" w:leader="none"/>
              </w:tabs>
              <w:jc w:val="right"/>
              <w:rPr>
                <w:color w:val="000000"/>
                <w:sz w:val="28"/>
                <w:szCs w:val="28"/>
              </w:rPr>
            </w:pPr>
            <w:r>
              <w:rPr>
                <w:color w:val="000000"/>
                <w:sz w:val="28"/>
                <w:szCs w:val="28"/>
              </w:rPr>
              <w:t xml:space="preserve">                                                                                </w:t>
            </w:r>
            <w:r>
              <w:rPr>
                <w:color w:val="000000"/>
                <w:sz w:val="28"/>
                <w:szCs w:val="28"/>
              </w:rPr>
              <w:t xml:space="preserve">к приказу Министерства</w:t>
            </w:r>
            <w:r>
              <w:rPr>
                <w:color w:val="000000"/>
                <w:sz w:val="28"/>
                <w:szCs w:val="28"/>
              </w:rPr>
            </w:r>
            <w:r>
              <w:rPr>
                <w:color w:val="000000"/>
                <w:sz w:val="28"/>
                <w:szCs w:val="28"/>
              </w:rPr>
            </w:r>
          </w:p>
          <w:p>
            <w:pPr>
              <w:pStyle w:val="780"/>
              <w:tabs>
                <w:tab w:val="clear" w:pos="708" w:leader="none"/>
                <w:tab w:val="left" w:pos="3686" w:leader="none"/>
              </w:tabs>
              <w:jc w:val="right"/>
              <w:rPr>
                <w:color w:val="000000"/>
                <w:sz w:val="28"/>
                <w:szCs w:val="28"/>
              </w:rPr>
            </w:pPr>
            <w:r>
              <w:rPr>
                <w:color w:val="000000"/>
                <w:sz w:val="28"/>
                <w:szCs w:val="28"/>
              </w:rPr>
              <w:t xml:space="preserve">                                                                             </w:t>
            </w:r>
            <w:r>
              <w:rPr>
                <w:color w:val="000000"/>
                <w:sz w:val="28"/>
                <w:szCs w:val="28"/>
              </w:rPr>
              <w:t xml:space="preserve">транспорта и дорожного хозяйства</w:t>
            </w:r>
            <w:r>
              <w:rPr>
                <w:color w:val="000000"/>
                <w:sz w:val="28"/>
                <w:szCs w:val="28"/>
              </w:rPr>
            </w:r>
            <w:r>
              <w:rPr>
                <w:color w:val="000000"/>
                <w:sz w:val="28"/>
                <w:szCs w:val="28"/>
              </w:rPr>
            </w:r>
          </w:p>
          <w:p>
            <w:pPr>
              <w:pStyle w:val="780"/>
              <w:tabs>
                <w:tab w:val="clear" w:pos="708" w:leader="none"/>
                <w:tab w:val="left" w:pos="3686" w:leader="none"/>
              </w:tabs>
              <w:jc w:val="right"/>
              <w:rPr>
                <w:color w:val="000000"/>
                <w:sz w:val="28"/>
                <w:szCs w:val="28"/>
              </w:rPr>
            </w:pPr>
            <w:r>
              <w:rPr>
                <w:color w:val="000000"/>
                <w:sz w:val="28"/>
                <w:szCs w:val="28"/>
              </w:rPr>
              <w:t xml:space="preserve">                                                                               </w:t>
            </w:r>
            <w:r>
              <w:rPr>
                <w:color w:val="000000"/>
                <w:sz w:val="28"/>
                <w:szCs w:val="28"/>
              </w:rPr>
              <w:t xml:space="preserve">Удмуртской Республики</w:t>
            </w:r>
            <w:r>
              <w:rPr>
                <w:color w:val="000000"/>
                <w:sz w:val="28"/>
                <w:szCs w:val="28"/>
              </w:rPr>
            </w:r>
            <w:r>
              <w:rPr>
                <w:color w:val="000000"/>
                <w:sz w:val="28"/>
                <w:szCs w:val="28"/>
              </w:rPr>
            </w:r>
          </w:p>
          <w:p>
            <w:pPr>
              <w:pStyle w:val="780"/>
              <w:jc w:val="right"/>
              <w:rPr>
                <w:sz w:val="28"/>
                <w:szCs w:val="28"/>
              </w:rPr>
            </w:pPr>
            <w:r>
              <w:rPr>
                <w:color w:val="000000"/>
                <w:sz w:val="28"/>
                <w:szCs w:val="28"/>
              </w:rPr>
              <w:t xml:space="preserve">                                                                           </w:t>
            </w:r>
            <w:r>
              <w:rPr>
                <w:color w:val="000000"/>
                <w:sz w:val="28"/>
                <w:szCs w:val="28"/>
                <w:u w:val="none"/>
              </w:rPr>
              <w:t xml:space="preserve">     </w:t>
            </w:r>
            <w:r>
              <w:rPr>
                <w:color w:val="000000"/>
                <w:sz w:val="28"/>
                <w:szCs w:val="28"/>
                <w:u w:val="none"/>
              </w:rPr>
              <w:t xml:space="preserve">от 3 мая </w:t>
            </w:r>
            <w:r>
              <w:rPr>
                <w:sz w:val="28"/>
                <w:szCs w:val="28"/>
                <w:u w:val="none"/>
              </w:rPr>
              <w:t xml:space="preserve">2025 года</w:t>
            </w:r>
            <w:r>
              <w:rPr>
                <w:sz w:val="28"/>
                <w:szCs w:val="28"/>
                <w:u w:val="none"/>
              </w:rPr>
              <w:t xml:space="preserve"> № </w:t>
            </w:r>
            <w:r>
              <w:rPr>
                <w:sz w:val="28"/>
                <w:szCs w:val="28"/>
                <w:u w:val="none"/>
                <w:lang w:val="en-US"/>
              </w:rPr>
              <w:t xml:space="preserve">0138/01-04</w:t>
            </w:r>
            <w:r>
              <w:rPr>
                <w:sz w:val="28"/>
                <w:szCs w:val="28"/>
              </w:rPr>
            </w:r>
            <w:r>
              <w:rPr>
                <w:sz w:val="28"/>
                <w:szCs w:val="28"/>
              </w:rPr>
            </w:r>
          </w:p>
        </w:tc>
      </w:tr>
      <w:tr>
        <w:trPr/>
        <w:tblPrEx/>
        <w:tc>
          <w:tcPr>
            <w:tcW w:w="13713" w:type="dxa"/>
            <w:gridSpan w:val="2"/>
            <w:noWrap w:val="false"/>
            <w:textDirection w:val="lrTb"/>
          </w:tcPr>
          <w:p>
            <w:pPr>
              <w:pStyle w:val="780"/>
              <w:tabs>
                <w:tab w:val="clear" w:pos="708" w:leader="none"/>
                <w:tab w:val="left" w:pos="3686" w:leader="none"/>
              </w:tabs>
              <w:ind w:right="-27"/>
              <w:jc w:val="right"/>
              <w:rPr>
                <w:sz w:val="28"/>
                <w:szCs w:val="28"/>
              </w:rPr>
            </w:pPr>
            <w:r>
              <w:rPr>
                <w:sz w:val="28"/>
                <w:szCs w:val="28"/>
              </w:rPr>
            </w:r>
            <w:r>
              <w:rPr>
                <w:sz w:val="28"/>
                <w:szCs w:val="28"/>
              </w:rPr>
            </w:r>
            <w:r>
              <w:rPr>
                <w:sz w:val="28"/>
                <w:szCs w:val="28"/>
              </w:rPr>
            </w:r>
          </w:p>
          <w:p>
            <w:pPr>
              <w:pStyle w:val="780"/>
              <w:tabs>
                <w:tab w:val="clear" w:pos="708" w:leader="none"/>
                <w:tab w:val="left" w:pos="3686" w:leader="none"/>
              </w:tabs>
              <w:ind w:right="-27"/>
              <w:jc w:val="right"/>
              <w:rPr>
                <w:sz w:val="28"/>
                <w:szCs w:val="28"/>
              </w:rPr>
            </w:pPr>
            <w:r>
              <w:rPr>
                <w:sz w:val="28"/>
                <w:szCs w:val="28"/>
              </w:rPr>
            </w:r>
            <w:r>
              <w:rPr>
                <w:sz w:val="28"/>
                <w:szCs w:val="28"/>
              </w:rPr>
            </w:r>
            <w:r>
              <w:rPr>
                <w:sz w:val="28"/>
                <w:szCs w:val="28"/>
              </w:rPr>
            </w:r>
          </w:p>
          <w:tbl>
            <w:tblPr>
              <w:tblW w:w="13608" w:type="dxa"/>
              <w:tblInd w:w="0" w:type="dxa"/>
              <w:tblLayout w:type="fixed"/>
              <w:tblCellMar>
                <w:left w:w="108" w:type="dxa"/>
                <w:top w:w="0" w:type="dxa"/>
                <w:right w:w="108" w:type="dxa"/>
                <w:bottom w:w="0" w:type="dxa"/>
              </w:tblCellMar>
              <w:tblLook w:val="04A0" w:firstRow="1" w:lastRow="0" w:firstColumn="1" w:lastColumn="0" w:noHBand="0" w:noVBand="1"/>
            </w:tblPr>
            <w:tblGrid>
              <w:gridCol w:w="568"/>
              <w:gridCol w:w="1560"/>
              <w:gridCol w:w="2125"/>
              <w:gridCol w:w="1984"/>
              <w:gridCol w:w="851"/>
              <w:gridCol w:w="992"/>
              <w:gridCol w:w="992"/>
              <w:gridCol w:w="1423"/>
              <w:gridCol w:w="1412"/>
              <w:gridCol w:w="1699"/>
            </w:tblGrid>
            <w:tr>
              <w:trPr>
                <w:trHeight w:val="196"/>
              </w:trPr>
              <w:tblPrEx/>
              <w:tc>
                <w:tcPr>
                  <w:tcW w:w="568" w:type="dxa"/>
                  <w:vMerge w:val="restart"/>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780"/>
                    <w:jc w:val="center"/>
                  </w:pPr>
                  <w:r>
                    <w:t xml:space="preserve">№</w:t>
                  </w:r>
                </w:p>
                <w:p>
                  <w:pPr>
                    <w:pStyle w:val="780"/>
                    <w:ind w:left="-142" w:right="-108"/>
                    <w:jc w:val="center"/>
                  </w:pPr>
                  <w:r>
                    <w:t xml:space="preserve">п/п</w:t>
                  </w:r>
                </w:p>
              </w:tc>
              <w:tc>
                <w:tcPr>
                  <w:tcW w:w="1560" w:type="dxa"/>
                  <w:vMerge w:val="restart"/>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780"/>
                    <w:jc w:val="center"/>
                  </w:pPr>
                  <w:r>
                    <w:t xml:space="preserve">Наименование</w:t>
                  </w:r>
                </w:p>
                <w:p>
                  <w:pPr>
                    <w:pStyle w:val="780"/>
                    <w:jc w:val="center"/>
                  </w:pPr>
                  <w:r>
                    <w:t xml:space="preserve">маршрута (регистрационный номер, порядковый номер маршрута)</w:t>
                  </w:r>
                </w:p>
              </w:tc>
              <w:tc>
                <w:tcPr>
                  <w:tcW w:w="2125" w:type="dxa"/>
                  <w:vMerge w:val="restart"/>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780"/>
                  </w:pPr>
                  <w:r>
                    <w:t xml:space="preserve">Наименования промежуточных остановочных пунктов по маршруту регулярных перевозок</w:t>
                  </w:r>
                </w:p>
                <w:p>
                  <w:pPr>
                    <w:pStyle w:val="780"/>
                  </w:pPr>
                </w:p>
              </w:tc>
              <w:tc>
                <w:tcPr>
                  <w:tcW w:w="1984" w:type="dxa"/>
                  <w:vMerge w:val="restart"/>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780"/>
                  </w:pPr>
                  <w:r>
                    <w:t xml:space="preserve">Наименования улиц, автомобильных дорог, по которым предполагается движение транспортных средств между остановочными пунктами по маршруту регулярных перевозок</w:t>
                  </w:r>
                </w:p>
                <w:p>
                  <w:pPr>
                    <w:pStyle w:val="780"/>
                  </w:pPr>
                </w:p>
              </w:tc>
              <w:tc>
                <w:tcPr>
                  <w:tcW w:w="851" w:type="dxa"/>
                  <w:vMerge w:val="restart"/>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780"/>
                  </w:pPr>
                  <w:r>
                    <w:t xml:space="preserve">Протяженность маршрута</w:t>
                  </w:r>
                </w:p>
                <w:p>
                  <w:pPr>
                    <w:pStyle w:val="780"/>
                  </w:pPr>
                </w:p>
              </w:tc>
              <w:tc>
                <w:tcPr>
                  <w:tcW w:w="992" w:type="dxa"/>
                  <w:vMerge w:val="restart"/>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780"/>
                  </w:pPr>
                  <w:r>
                    <w:t xml:space="preserve">Порядок посадки и высадки пассажиров</w:t>
                  </w:r>
                </w:p>
                <w:p>
                  <w:pPr>
                    <w:pStyle w:val="780"/>
                  </w:pPr>
                </w:p>
              </w:tc>
              <w:tc>
                <w:tcPr>
                  <w:tcW w:w="992" w:type="dxa"/>
                  <w:vMerge w:val="restart"/>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780"/>
                  </w:pPr>
                  <w:r>
                    <w:t xml:space="preserve">Вид регулярных перевозок</w:t>
                  </w:r>
                </w:p>
                <w:p>
                  <w:pPr>
                    <w:pStyle w:val="780"/>
                  </w:pPr>
                </w:p>
              </w:tc>
              <w:tc>
                <w:tcPr>
                  <w:tcW w:w="2835" w:type="dxa"/>
                  <w:gridSpan w:val="2"/>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780"/>
                    <w:jc w:val="center"/>
                  </w:pPr>
                  <w:r>
                    <w:t xml:space="preserve">Время отправления, регулярность</w:t>
                  </w:r>
                </w:p>
                <w:p>
                  <w:pPr>
                    <w:pStyle w:val="780"/>
                    <w:jc w:val="center"/>
                  </w:pPr>
                </w:p>
              </w:tc>
              <w:tc>
                <w:tcPr>
                  <w:tcW w:w="1699" w:type="dxa"/>
                  <w:vMerge w:val="restart"/>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Максимальное количество транспортных средств каждого класса, которое допускается использовать для перевозок по маршруту регулярных перевозок, виды, классы, экологические характеристики транспортных средств</w:t>
                  </w:r>
                </w:p>
                <w:p>
                  <w:pPr>
                    <w:pStyle w:val="780"/>
                  </w:pPr>
                </w:p>
              </w:tc>
            </w:tr>
            <w:tr>
              <w:trPr>
                <w:trHeight w:val="79"/>
              </w:trPr>
              <w:tblPrEx/>
              <w:tc>
                <w:tcPr>
                  <w:tcW w:w="568" w:type="dxa"/>
                  <w:vMerge w:val="continue"/>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780"/>
                  </w:pPr>
                </w:p>
              </w:tc>
              <w:tc>
                <w:tcPr>
                  <w:tcW w:w="1560" w:type="dxa"/>
                  <w:vMerge w:val="continue"/>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780"/>
                  </w:pPr>
                </w:p>
              </w:tc>
              <w:tc>
                <w:tcPr>
                  <w:tcW w:w="2125" w:type="dxa"/>
                  <w:vMerge w:val="continue"/>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780"/>
                  </w:pPr>
                </w:p>
              </w:tc>
              <w:tc>
                <w:tcPr>
                  <w:tcW w:w="1984" w:type="dxa"/>
                  <w:vMerge w:val="continue"/>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780"/>
                  </w:pPr>
                </w:p>
              </w:tc>
              <w:tc>
                <w:tcPr>
                  <w:tcW w:w="851" w:type="dxa"/>
                  <w:vMerge w:val="continue"/>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780"/>
                  </w:pPr>
                </w:p>
              </w:tc>
              <w:tc>
                <w:tcPr>
                  <w:tcW w:w="992" w:type="dxa"/>
                  <w:vMerge w:val="continue"/>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780"/>
                  </w:pPr>
                </w:p>
              </w:tc>
              <w:tc>
                <w:tcPr>
                  <w:tcW w:w="992" w:type="dxa"/>
                  <w:vMerge w:val="continue"/>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780"/>
                    <w:jc w:val="center"/>
                  </w:pPr>
                  <w:r>
                    <w:t xml:space="preserve">от начального пункта</w:t>
                  </w:r>
                </w:p>
                <w:p>
                  <w:pPr>
                    <w:pStyle w:val="780"/>
                    <w:jc w:val="center"/>
                  </w:pPr>
                  <w:r>
                    <w:t xml:space="preserve">(промежуточной остановки)</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780"/>
                    <w:jc w:val="center"/>
                  </w:pPr>
                  <w:r>
                    <w:t xml:space="preserve">от конечного пункта</w:t>
                  </w:r>
                </w:p>
                <w:p>
                  <w:pPr>
                    <w:pStyle w:val="780"/>
                    <w:jc w:val="center"/>
                  </w:pPr>
                  <w:r>
                    <w:t xml:space="preserve">(промежуточной остановки)</w:t>
                  </w:r>
                </w:p>
              </w:tc>
              <w:tc>
                <w:tcPr>
                  <w:tcW w:w="1699" w:type="dxa"/>
                  <w:vMerge w:val="continue"/>
                  <w:tcBorders>
                    <w:top w:val="single" w:color="000000" w:sz="4" w:space="0"/>
                    <w:left w:val="single" w:color="000000" w:sz="4" w:space="0"/>
                    <w:bottom w:val="single" w:color="000000" w:sz="4" w:space="0"/>
                    <w:right w:val="single" w:color="000000" w:sz="4" w:space="0"/>
                  </w:tcBorders>
                  <w:noWrap w:val="false"/>
                  <w:textDirection w:val="lrTb"/>
                  <w:vAlign w:val="center"/>
                </w:tcPr>
                <w:p>
                  <w:pPr>
                    <w:pStyle w:val="780"/>
                  </w:pP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2</w:t>
                  </w:r>
                  <w:r>
                    <w:rPr>
                      <w:lang w:eastAsia="en-US"/>
                    </w:rPr>
                  </w:r>
                  <w:r>
                    <w:rPr>
                      <w:lang w:eastAsia="en-US"/>
                    </w:rPr>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г. Камбарка (автостанция) – </w:t>
                    <w:br/>
                    <w:t xml:space="preserve">с. Мазунино (№ 75.1, № 387)</w:t>
                  </w: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с. Тарасово, д. Соколовка</w:t>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г. Камбарка (в прямом направлении: ул. Первомайская, ул. Советская, ул. Пролетарская, пер. Клубный; в обратном направлении: пер. Клубный, ул. Разина, пер. Школьный, ул. Пролетарская, ул. Советская, ул. Первомайская), а/д Камбарка - Костино</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20</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highlight w:val="none"/>
                    </w:rPr>
                  </w:pPr>
                  <w:r>
                    <w:t xml:space="preserve">пн, вт, ср, чт, пт:</w:t>
                  </w:r>
                  <w:r>
                    <w:rPr>
                      <w:highlight w:val="none"/>
                    </w:rPr>
                  </w:r>
                  <w:r>
                    <w:rPr>
                      <w:highlight w:val="none"/>
                    </w:rPr>
                  </w:r>
                </w:p>
                <w:p>
                  <w:pPr>
                    <w:pStyle w:val="780"/>
                    <w:rPr>
                      <w:highlight w:val="none"/>
                    </w:rPr>
                  </w:pPr>
                  <w:r>
                    <w:t xml:space="preserve">05:30;</w:t>
                  </w:r>
                  <w:r>
                    <w:rPr>
                      <w:highlight w:val="none"/>
                    </w:rPr>
                  </w:r>
                  <w:r>
                    <w:rPr>
                      <w:highlight w:val="none"/>
                    </w:rPr>
                  </w:r>
                </w:p>
                <w:p>
                  <w:pPr>
                    <w:pStyle w:val="780"/>
                  </w:pPr>
                  <w:r>
                    <w:t xml:space="preserve">Сб, вс: 06:30</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highlight w:val="none"/>
                    </w:rPr>
                  </w:pPr>
                  <w:r>
                    <w:t xml:space="preserve">пн, вт, ср, чт, пт: 14:15;</w:t>
                  </w:r>
                  <w:r>
                    <w:rPr>
                      <w:highlight w:val="none"/>
                    </w:rPr>
                  </w:r>
                  <w:r>
                    <w:rPr>
                      <w:highlight w:val="none"/>
                    </w:rPr>
                  </w:r>
                </w:p>
                <w:p>
                  <w:pPr>
                    <w:pStyle w:val="780"/>
                  </w:pPr>
                  <w:r>
                    <w:t xml:space="preserve">Сб, вс: 14:15</w:t>
                  </w: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2 ТС, малый класс и выше, не установлены</w:t>
                  </w: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3</w:t>
                  </w:r>
                  <w:r>
                    <w:rPr>
                      <w:lang w:eastAsia="en-US"/>
                    </w:rPr>
                  </w:r>
                  <w:r>
                    <w:rPr>
                      <w:lang w:eastAsia="en-US"/>
                    </w:rPr>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с. Мазунино – г. Ижевск (АВ) (№ 192.1, № 518)</w:t>
                  </w: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д.Межная</w:t>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В прямом напарвлении: а/д Камбарка - Сарапул, г.Сарапул (ул.Гончарова, ул.Путейская) ,а/д Сарапул - Ижевск, г. Ижевск (ул. Маяковского, ул. Магистральная, ул. Карла Маркса, </w:t>
                  </w:r>
                  <w:r>
                    <w:rPr>
                      <w:sz w:val="22"/>
                      <w:szCs w:val="22"/>
                    </w:rPr>
                    <w:t xml:space="preserve">ул. Пастухова, ул. Красноармейская); в обратном направлении: г. Ижевск (ул. Красноармейская, ул. Карла Либкнехта, ул. Карла Маркса, ул. Магистральная, ул. Маяковского), а/д Ижевск - Сарапул, г. Сарапул (ул. Путейская, ул. Гончарова), а/д Сарапул - Камбарка</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88</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r>
                    <w:t xml:space="preserve">регулярные перевозки по нерегулируемым тарифам</w:t>
                  </w:r>
                </w:p>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highlight w:val="none"/>
                    </w:rPr>
                  </w:pPr>
                  <w:r>
                    <w:t xml:space="preserve">пн, вт, ср, чт, пт:</w:t>
                  </w:r>
                  <w:r>
                    <w:rPr>
                      <w:highlight w:val="none"/>
                    </w:rPr>
                  </w:r>
                  <w:r>
                    <w:rPr>
                      <w:highlight w:val="none"/>
                    </w:rPr>
                  </w:r>
                </w:p>
                <w:p>
                  <w:pPr>
                    <w:pStyle w:val="780"/>
                    <w:rPr>
                      <w:highlight w:val="none"/>
                    </w:rPr>
                  </w:pPr>
                  <w:r>
                    <w:t xml:space="preserve">06:00;</w:t>
                  </w:r>
                  <w:r>
                    <w:rPr>
                      <w:highlight w:val="none"/>
                    </w:rPr>
                  </w:r>
                  <w:r>
                    <w:rPr>
                      <w:highlight w:val="none"/>
                    </w:rPr>
                  </w:r>
                </w:p>
                <w:p>
                  <w:pPr>
                    <w:pStyle w:val="780"/>
                  </w:pPr>
                  <w:r>
                    <w:t xml:space="preserve">сб, вс: 07:00</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highlight w:val="none"/>
                    </w:rPr>
                  </w:pPr>
                  <w:r>
                    <w:t xml:space="preserve">пн, вт, ср, чт, пт:</w:t>
                  </w:r>
                  <w:r>
                    <w:rPr>
                      <w:highlight w:val="none"/>
                    </w:rPr>
                  </w:r>
                  <w:r>
                    <w:rPr>
                      <w:highlight w:val="none"/>
                    </w:rPr>
                  </w:r>
                </w:p>
                <w:p>
                  <w:pPr>
                    <w:pStyle w:val="780"/>
                    <w:rPr>
                      <w:highlight w:val="none"/>
                    </w:rPr>
                  </w:pPr>
                  <w:r>
                    <w:t xml:space="preserve">13:00;</w:t>
                  </w:r>
                  <w:r>
                    <w:rPr>
                      <w:highlight w:val="none"/>
                    </w:rPr>
                  </w:r>
                  <w:r>
                    <w:rPr>
                      <w:highlight w:val="none"/>
                    </w:rPr>
                  </w:r>
                </w:p>
                <w:p>
                  <w:pPr>
                    <w:pStyle w:val="780"/>
                  </w:pPr>
                  <w:r>
                    <w:t xml:space="preserve">сб, вс: 13:00</w:t>
                  </w: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2 ТС, малый класс и выше, не установлены</w:t>
                  </w: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4</w:t>
                  </w:r>
                  <w:r>
                    <w:rPr>
                      <w:lang w:eastAsia="en-US"/>
                    </w:rPr>
                  </w:r>
                  <w:r>
                    <w:rPr>
                      <w:lang w:eastAsia="en-US"/>
                    </w:rPr>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г. Сарапул АВ (ул. Карла Маркса, 60) - с. Киясово ОП (ул.Красная, 8) </w:t>
                    <w:br/>
                    <w:t xml:space="preserve">(№ 76, № 391)</w:t>
                  </w: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с. Сигаево, д. Костино,</w:t>
                  </w:r>
                  <w:r>
                    <w:rPr>
                      <w:sz w:val="22"/>
                      <w:szCs w:val="22"/>
                    </w:rPr>
                  </w:r>
                  <w:r>
                    <w:rPr>
                      <w:sz w:val="22"/>
                      <w:szCs w:val="22"/>
                    </w:rPr>
                  </w:r>
                </w:p>
                <w:p>
                  <w:pPr>
                    <w:pStyle w:val="780"/>
                    <w:rPr>
                      <w:sz w:val="22"/>
                      <w:szCs w:val="22"/>
                    </w:rPr>
                  </w:pPr>
                  <w:r>
                    <w:rPr>
                      <w:sz w:val="22"/>
                      <w:szCs w:val="22"/>
                    </w:rPr>
                    <w:t xml:space="preserve">СНТ "Заречный", д. Митрошино, д. Сергеево, д. Глухово, с.Кигбаево, с. Выезд, д. Юрино</w:t>
                  </w:r>
                  <w:r>
                    <w:rPr>
                      <w:sz w:val="22"/>
                      <w:szCs w:val="22"/>
                    </w:rPr>
                  </w:r>
                  <w:r>
                    <w:rPr>
                      <w:sz w:val="22"/>
                      <w:szCs w:val="22"/>
                    </w:rPr>
                  </w:r>
                </w:p>
                <w:p>
                  <w:pPr>
                    <w:pStyle w:val="780"/>
                    <w:rPr>
                      <w:sz w:val="22"/>
                      <w:szCs w:val="22"/>
                    </w:rPr>
                  </w:pPr>
                  <w:r>
                    <w:rPr>
                      <w:sz w:val="22"/>
                      <w:szCs w:val="22"/>
                    </w:rPr>
                    <w:t xml:space="preserve">д. Яжбахтино, п. Первомайский</w:t>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г.Сарапул (ул. Пролетарская, ул. Азина), с. Сигаево (ул. Советская), автодорога Сарапул-Киясово</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55,1</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пн., пт., сб., вс.:  06:35, 16:25</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пн., пт., сб., вс.:  08:05, 18:05</w:t>
                  </w:r>
                </w:p>
                <w:p>
                  <w:pPr>
                    <w:pStyle w:val="780"/>
                  </w:pP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2 ТС, малый класс и выше, Евро 3,4,5</w:t>
                  </w: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7</w:t>
                  </w:r>
                  <w:r>
                    <w:rPr>
                      <w:lang w:eastAsia="en-US"/>
                    </w:rPr>
                  </w:r>
                  <w:r>
                    <w:rPr>
                      <w:lang w:eastAsia="en-US"/>
                    </w:rPr>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г. Ижевск АВ (ул.Красноармейская,</w:t>
                  </w:r>
                </w:p>
                <w:p>
                  <w:pPr>
                    <w:pStyle w:val="780"/>
                  </w:pPr>
                  <w:r>
                    <w:t xml:space="preserve">д. 134) - с. Малая Воложикья (№ 214.1, № 557)</w:t>
                  </w: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г. Ижевск (АС), с.Лудорвай, с.Подшивалово, с.Ср.Постол, д.Бинвирь, пов. на с.Красное, д.Рябиновка, д.Берёзовка, с.Нылга (АС), д.Новая Вамья, с.Булай, д.С.Видзя</w:t>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а/д Ижевск- Ува, а/д Нылга-Можга, а/д (Ижевск-Ува)-Петропавлово, а/д (Можга-Нылга)-Малая Воложикья</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79,5</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пт: 18:35</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пт: 16:15</w:t>
                  </w: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1 ТС, малый класс и выше, не установлены</w:t>
                  </w: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pPr>
                  <w:r>
                    <w:rPr>
                      <w:lang w:eastAsia="en-US"/>
                    </w:rPr>
                    <w:t xml:space="preserve">8</w:t>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left"/>
                  </w:pPr>
                  <w:r>
                    <w:rPr>
                      <w:rFonts w:ascii="PT Astra Serif" w:hAnsi="PT Astra Serif" w:eastAsia="PT Astra Serif" w:cs="PT Astra Serif"/>
                      <w:sz w:val="24"/>
                      <w:szCs w:val="24"/>
                    </w:rPr>
                    <w:t xml:space="preserve"> </w:t>
                  </w:r>
                  <w:r>
                    <w:rPr>
                      <w:rFonts w:ascii="PT Astra Serif" w:hAnsi="PT Astra Serif" w:eastAsia="PT Astra Serif" w:cs="PT Astra Serif"/>
                      <w:sz w:val="24"/>
                      <w:szCs w:val="24"/>
                    </w:rPr>
                    <w:t xml:space="preserve">д. Петропавлово –</w:t>
                  </w:r>
                </w:p>
                <w:p>
                  <w:pPr>
                    <w:pStyle w:val="780"/>
                    <w:jc w:val="left"/>
                    <w:rPr>
                      <w:rFonts w:ascii="PT Astra Serif" w:hAnsi="PT Astra Serif" w:eastAsia="PT Astra Serif" w:cs="PT Astra Serif"/>
                      <w:sz w:val="22"/>
                      <w:szCs w:val="22"/>
                      <w:highlight w:val="none"/>
                    </w:rPr>
                  </w:pPr>
                  <w:r>
                    <w:rPr>
                      <w:rFonts w:ascii="PT Astra Serif" w:hAnsi="PT Astra Serif" w:eastAsia="PT Astra Serif" w:cs="PT Astra Serif"/>
                      <w:sz w:val="24"/>
                      <w:szCs w:val="24"/>
                    </w:rPr>
                    <w:t xml:space="preserve"> </w:t>
                  </w:r>
                  <w:r>
                    <w:rPr>
                      <w:rFonts w:ascii="PT Astra Serif" w:hAnsi="PT Astra Serif" w:eastAsia="PT Astra Serif" w:cs="PT Astra Serif"/>
                      <w:sz w:val="24"/>
                      <w:szCs w:val="24"/>
                    </w:rPr>
                    <w:t xml:space="preserve">г. Ижевск АВ (ул.Красноармейская, </w:t>
                    <w:br/>
                    <w:t xml:space="preserve">д. 134) - д. Петропавлово (№ 216.1, № 559)</w:t>
                  </w:r>
                  <w:r>
                    <w:rPr>
                      <w:rFonts w:ascii="PT Astra Serif" w:hAnsi="PT Astra Serif" w:eastAsia="PT Astra Serif" w:cs="PT Astra Serif"/>
                      <w:sz w:val="22"/>
                      <w:szCs w:val="22"/>
                      <w:highlight w:val="none"/>
                    </w:rPr>
                  </w:r>
                  <w:r>
                    <w:rPr>
                      <w:rFonts w:ascii="PT Astra Serif" w:hAnsi="PT Astra Serif" w:eastAsia="PT Astra Serif" w:cs="PT Astra Serif"/>
                      <w:sz w:val="22"/>
                      <w:szCs w:val="22"/>
                      <w:highlight w:val="none"/>
                    </w:rPr>
                  </w:r>
                </w:p>
                <w:p>
                  <w:pPr>
                    <w:pStyle w:val="780"/>
                  </w:pP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Лудорвай д.</w:t>
                  </w:r>
                  <w:r>
                    <w:rPr>
                      <w:sz w:val="22"/>
                      <w:szCs w:val="22"/>
                    </w:rPr>
                  </w:r>
                  <w:r>
                    <w:rPr>
                      <w:sz w:val="22"/>
                      <w:szCs w:val="22"/>
                    </w:rPr>
                  </w:r>
                </w:p>
                <w:p>
                  <w:pPr>
                    <w:pStyle w:val="780"/>
                    <w:rPr>
                      <w:sz w:val="22"/>
                      <w:szCs w:val="22"/>
                    </w:rPr>
                  </w:pPr>
                  <w:r>
                    <w:rPr>
                      <w:sz w:val="22"/>
                      <w:szCs w:val="22"/>
                    </w:rPr>
                    <w:t xml:space="preserve">Подшивалово д.</w:t>
                  </w:r>
                  <w:r>
                    <w:rPr>
                      <w:sz w:val="22"/>
                      <w:szCs w:val="22"/>
                    </w:rPr>
                  </w:r>
                  <w:r>
                    <w:rPr>
                      <w:sz w:val="22"/>
                      <w:szCs w:val="22"/>
                    </w:rPr>
                  </w:r>
                </w:p>
                <w:p>
                  <w:pPr>
                    <w:pStyle w:val="780"/>
                    <w:rPr>
                      <w:sz w:val="22"/>
                      <w:szCs w:val="22"/>
                    </w:rPr>
                  </w:pPr>
                  <w:r>
                    <w:rPr>
                      <w:sz w:val="22"/>
                      <w:szCs w:val="22"/>
                    </w:rPr>
                    <w:t xml:space="preserve">Советско-Никольское с.</w:t>
                  </w:r>
                  <w:r>
                    <w:rPr>
                      <w:sz w:val="22"/>
                      <w:szCs w:val="22"/>
                    </w:rPr>
                  </w:r>
                  <w:r>
                    <w:rPr>
                      <w:sz w:val="22"/>
                      <w:szCs w:val="22"/>
                    </w:rPr>
                  </w:r>
                </w:p>
                <w:p>
                  <w:pPr>
                    <w:pStyle w:val="780"/>
                    <w:rPr>
                      <w:sz w:val="22"/>
                      <w:szCs w:val="22"/>
                    </w:rPr>
                  </w:pPr>
                  <w:r>
                    <w:rPr>
                      <w:sz w:val="22"/>
                      <w:szCs w:val="22"/>
                    </w:rPr>
                    <w:t xml:space="preserve">Средний Постол д. пов.</w:t>
                  </w:r>
                  <w:r>
                    <w:rPr>
                      <w:sz w:val="22"/>
                      <w:szCs w:val="22"/>
                    </w:rPr>
                  </w:r>
                  <w:r>
                    <w:rPr>
                      <w:sz w:val="22"/>
                      <w:szCs w:val="22"/>
                    </w:rPr>
                  </w:r>
                </w:p>
                <w:p>
                  <w:pPr>
                    <w:pStyle w:val="780"/>
                    <w:rPr>
                      <w:sz w:val="22"/>
                      <w:szCs w:val="22"/>
                    </w:rPr>
                  </w:pPr>
                  <w:r>
                    <w:rPr>
                      <w:sz w:val="22"/>
                      <w:szCs w:val="22"/>
                    </w:rPr>
                    <w:t xml:space="preserve">Бинвирь пов.</w:t>
                  </w:r>
                  <w:r>
                    <w:rPr>
                      <w:sz w:val="22"/>
                      <w:szCs w:val="22"/>
                    </w:rPr>
                  </w:r>
                  <w:r>
                    <w:rPr>
                      <w:sz w:val="22"/>
                      <w:szCs w:val="22"/>
                    </w:rPr>
                  </w:r>
                </w:p>
                <w:p>
                  <w:pPr>
                    <w:pStyle w:val="780"/>
                    <w:rPr>
                      <w:sz w:val="22"/>
                      <w:szCs w:val="22"/>
                    </w:rPr>
                  </w:pPr>
                  <w:r>
                    <w:rPr>
                      <w:sz w:val="22"/>
                      <w:szCs w:val="22"/>
                    </w:rPr>
                    <w:t xml:space="preserve">Красное с. пов.</w:t>
                  </w:r>
                  <w:r>
                    <w:rPr>
                      <w:sz w:val="22"/>
                      <w:szCs w:val="22"/>
                    </w:rPr>
                  </w:r>
                  <w:r>
                    <w:rPr>
                      <w:sz w:val="22"/>
                      <w:szCs w:val="22"/>
                    </w:rPr>
                  </w:r>
                </w:p>
                <w:p>
                  <w:pPr>
                    <w:pStyle w:val="780"/>
                    <w:rPr>
                      <w:sz w:val="22"/>
                      <w:szCs w:val="22"/>
                    </w:rPr>
                  </w:pPr>
                  <w:r>
                    <w:rPr>
                      <w:sz w:val="22"/>
                      <w:szCs w:val="22"/>
                    </w:rPr>
                    <w:t xml:space="preserve">Рябиновка д.</w:t>
                  </w:r>
                  <w:r>
                    <w:rPr>
                      <w:sz w:val="22"/>
                      <w:szCs w:val="22"/>
                    </w:rPr>
                  </w:r>
                  <w:r>
                    <w:rPr>
                      <w:sz w:val="22"/>
                      <w:szCs w:val="22"/>
                    </w:rPr>
                  </w:r>
                </w:p>
                <w:p>
                  <w:pPr>
                    <w:pStyle w:val="780"/>
                    <w:rPr>
                      <w:sz w:val="22"/>
                      <w:szCs w:val="22"/>
                    </w:rPr>
                  </w:pPr>
                  <w:r>
                    <w:rPr>
                      <w:sz w:val="22"/>
                      <w:szCs w:val="22"/>
                    </w:rPr>
                    <w:t xml:space="preserve">Березовка д.</w:t>
                  </w:r>
                  <w:r>
                    <w:rPr>
                      <w:sz w:val="22"/>
                      <w:szCs w:val="22"/>
                    </w:rPr>
                  </w:r>
                  <w:r>
                    <w:rPr>
                      <w:sz w:val="22"/>
                      <w:szCs w:val="22"/>
                    </w:rPr>
                  </w:r>
                </w:p>
                <w:p>
                  <w:pPr>
                    <w:pStyle w:val="780"/>
                    <w:rPr>
                      <w:sz w:val="22"/>
                      <w:szCs w:val="22"/>
                    </w:rPr>
                  </w:pPr>
                  <w:r>
                    <w:rPr>
                      <w:sz w:val="22"/>
                      <w:szCs w:val="22"/>
                    </w:rPr>
                    <w:t xml:space="preserve">Булгурт пов.</w:t>
                  </w:r>
                  <w:r>
                    <w:rPr>
                      <w:sz w:val="22"/>
                      <w:szCs w:val="22"/>
                    </w:rPr>
                  </w:r>
                  <w:r>
                    <w:rPr>
                      <w:sz w:val="22"/>
                      <w:szCs w:val="22"/>
                    </w:rPr>
                  </w:r>
                </w:p>
                <w:p>
                  <w:pPr>
                    <w:pStyle w:val="780"/>
                    <w:rPr>
                      <w:sz w:val="22"/>
                      <w:szCs w:val="22"/>
                    </w:rPr>
                  </w:pPr>
                  <w:r>
                    <w:rPr>
                      <w:sz w:val="22"/>
                      <w:szCs w:val="22"/>
                    </w:rPr>
                    <w:t xml:space="preserve">Нылга АС</w:t>
                  </w:r>
                  <w:r>
                    <w:rPr>
                      <w:sz w:val="22"/>
                      <w:szCs w:val="22"/>
                    </w:rPr>
                  </w:r>
                  <w:r>
                    <w:rPr>
                      <w:sz w:val="22"/>
                      <w:szCs w:val="22"/>
                    </w:rPr>
                  </w:r>
                </w:p>
                <w:p>
                  <w:pPr>
                    <w:pStyle w:val="780"/>
                    <w:rPr>
                      <w:sz w:val="22"/>
                      <w:szCs w:val="22"/>
                    </w:rPr>
                  </w:pPr>
                  <w:r>
                    <w:rPr>
                      <w:sz w:val="22"/>
                      <w:szCs w:val="22"/>
                    </w:rPr>
                    <w:t xml:space="preserve">починок Кизварь</w:t>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г.Ижевск (ул.Красноармейская, ул.Карла Либкнехта, ул.Горького, ул. Новоажимова, ул. Азина), а/д Ижевск- Ува, а/д (Ижевск-Ува)-Петропавлово</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68</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пт, вс: 18:35</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пт, вс: 16:15</w:t>
                  </w: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1 ТС, малый класс и выше, не установлены</w:t>
                  </w:r>
                </w:p>
                <w:p>
                  <w:pPr>
                    <w:pStyle w:val="780"/>
                  </w:pP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9</w:t>
                  </w:r>
                  <w:r>
                    <w:rPr>
                      <w:lang w:eastAsia="en-US"/>
                    </w:rPr>
                  </w:r>
                  <w:r>
                    <w:rPr>
                      <w:lang w:eastAsia="en-US"/>
                    </w:rPr>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п. Ува АС (ул.Станционная, 2) –</w:t>
                  </w:r>
                </w:p>
                <w:p>
                  <w:pPr>
                    <w:pStyle w:val="780"/>
                  </w:pPr>
                  <w:r>
                    <w:t xml:space="preserve">с. Селты АС (ул.Первомайская, 10) -</w:t>
                  </w:r>
                </w:p>
                <w:p>
                  <w:pPr>
                    <w:pStyle w:val="780"/>
                  </w:pPr>
                  <w:r>
                    <w:t xml:space="preserve">п.Игра АС ул.Советская, 64) – г.Глазов (ул.Сулимова, 73Б)  </w:t>
                    <w:br/>
                    <w:t xml:space="preserve">(№ 218.2, № 565)</w:t>
                  </w: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Чабишур д., Узей-Тукля д., Поршур-Тукля д., Пытцам д., Кочегурт д., Нов</w:t>
                  </w:r>
                  <w:r>
                    <w:rPr>
                      <w:sz w:val="22"/>
                      <w:szCs w:val="22"/>
                    </w:rPr>
                    <w:t xml:space="preserve">ая Монья д., 8 км трасса, Мадьярово д., Селты с. АС, Пожгурт д., Большая Нырья д. пов., Колесур пов., Шаклеи пов., Узи с., Новые Зятцы с., Игра пгт, Нагорный в., Факел пгт пов., Ушур д. пов., Исаково д. пов., Шолоково пов., Быдыпи д. пов., Балезино п. пов.</w:t>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п. Ува (ул. Толстого), а/д Ува - Селты, с. Селты (ул. М.Горького, ул. Юбилейная, ул. Первомайская), а/д Селты - Игра, п. Игра (ул. Заречная, ул. Советская), а/д Игра-Глазов, г.Глазов (Красногорскиий тракт, ул.Сибирская, ул. Сулимова)</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190</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пт, вс: 14:40</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пт, вс: 18:15</w:t>
                  </w: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1 ТС, малый класс и выше, не установлены</w:t>
                  </w:r>
                </w:p>
                <w:p>
                  <w:pPr>
                    <w:pStyle w:val="780"/>
                  </w:pP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10</w:t>
                  </w:r>
                  <w:r>
                    <w:rPr>
                      <w:lang w:eastAsia="en-US"/>
                    </w:rPr>
                  </w:r>
                  <w:r>
                    <w:rPr>
                      <w:lang w:eastAsia="en-US"/>
                    </w:rPr>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г. Ижевск АВ (ул. Красноармейская,</w:t>
                  </w:r>
                </w:p>
                <w:p>
                  <w:pPr>
                    <w:pStyle w:val="780"/>
                  </w:pPr>
                  <w:r>
                    <w:t xml:space="preserve">д. 134) – с. Кильмезь</w:t>
                    <w:br/>
                    <w:t xml:space="preserve"> (№ 228.3, № 582)</w:t>
                  </w: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г.Ижевск (АС), д.Лудорвай, д.Подшивалово, д.Ср.Постол, д.Бинвирь, пов. на с.Красное, д.Рябиновка, д.Берё</w:t>
                  </w:r>
                  <w:r>
                    <w:rPr>
                      <w:sz w:val="22"/>
                      <w:szCs w:val="22"/>
                    </w:rPr>
                    <w:t xml:space="preserve">зовка, с.Нылга АС, пов. на д.Кулябино, д.Мульшур, д.Ключевая, пов. на с.Киби - Жикья, пос.Ува АС,  д.Сюровай, д.Чемошур, д.Гуртлудчик, д.Дмитрошур, д.Гайны, д.Акилово, д.Выселок, с.Сюмси АС, д.Русская Бабья, пов. на д.Васькино, пов. на п.Орловское, д.Балма</w:t>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г.Ижевск (ул.Азина, ул.Гагарина, ул.Магистральная, ул.К.Маркса, ул.Пастухова, ул.Красноармейская), а</w:t>
                  </w:r>
                  <w:r>
                    <w:rPr>
                      <w:sz w:val="22"/>
                      <w:szCs w:val="22"/>
                    </w:rPr>
                    <w:t xml:space="preserve">/д «Ува - Ижевск»,  п. Ува (ул. Толстого, ул. Станционная, ул. Пушкина, ул., ул.М.Горького), а/д «Сюмси – Ува», с. Сюмси (ул. Базарная, ул. Полевая), а/д «Игра - Селты - Сюмси – гр.Кировской обл.», а/д «(Игра - Селты - Сюмси – гр.Кировской обл.) -Кильмезь»</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159,2</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ежедн.: 07:00, 14:30</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ежедн.: 08:00, 14:00</w:t>
                  </w: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2 ТС, малый класс и выше, не установлены</w:t>
                  </w: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11</w:t>
                  </w:r>
                  <w:r>
                    <w:rPr>
                      <w:lang w:eastAsia="en-US"/>
                    </w:rPr>
                  </w:r>
                  <w:r>
                    <w:rPr>
                      <w:lang w:eastAsia="en-US"/>
                    </w:rPr>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г. Сарапул (АВ) - </w:t>
                    <w:br/>
                    <w:t xml:space="preserve">с. Каракулино (АС) </w:t>
                    <w:br/>
                    <w:t xml:space="preserve">(№ 234, № 593)</w:t>
                  </w: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с.Сигаево, д.Костино, СНТ "Заречный",</w:t>
                  </w:r>
                  <w:r>
                    <w:rPr>
                      <w:sz w:val="22"/>
                      <w:szCs w:val="22"/>
                    </w:rPr>
                  </w:r>
                  <w:r>
                    <w:rPr>
                      <w:sz w:val="22"/>
                      <w:szCs w:val="22"/>
                    </w:rPr>
                  </w:r>
                </w:p>
                <w:p>
                  <w:pPr>
                    <w:pStyle w:val="780"/>
                    <w:rPr>
                      <w:sz w:val="22"/>
                      <w:szCs w:val="22"/>
                    </w:rPr>
                  </w:pPr>
                  <w:r>
                    <w:rPr>
                      <w:sz w:val="22"/>
                      <w:szCs w:val="22"/>
                    </w:rPr>
                    <w:t xml:space="preserve">с.Степное, с.Мостовое,</w:t>
                  </w:r>
                  <w:r>
                    <w:rPr>
                      <w:sz w:val="22"/>
                      <w:szCs w:val="22"/>
                    </w:rPr>
                  </w:r>
                  <w:r>
                    <w:rPr>
                      <w:sz w:val="22"/>
                      <w:szCs w:val="22"/>
                    </w:rPr>
                  </w:r>
                </w:p>
                <w:p>
                  <w:pPr>
                    <w:pStyle w:val="780"/>
                    <w:rPr>
                      <w:sz w:val="22"/>
                      <w:szCs w:val="22"/>
                    </w:rPr>
                  </w:pPr>
                  <w:r>
                    <w:rPr>
                      <w:sz w:val="22"/>
                      <w:szCs w:val="22"/>
                    </w:rPr>
                    <w:t xml:space="preserve">д.Заборье, д.Пинязь,</w:t>
                  </w:r>
                  <w:r>
                    <w:rPr>
                      <w:sz w:val="22"/>
                      <w:szCs w:val="22"/>
                    </w:rPr>
                  </w:r>
                  <w:r>
                    <w:rPr>
                      <w:sz w:val="22"/>
                      <w:szCs w:val="22"/>
                    </w:rPr>
                  </w:r>
                </w:p>
                <w:p>
                  <w:pPr>
                    <w:pStyle w:val="780"/>
                    <w:rPr>
                      <w:sz w:val="22"/>
                      <w:szCs w:val="22"/>
                    </w:rPr>
                  </w:pPr>
                  <w:r>
                    <w:rPr>
                      <w:sz w:val="22"/>
                      <w:szCs w:val="22"/>
                    </w:rPr>
                    <w:t xml:space="preserve">д.Котово, с.Арзамасцево</w:t>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г.Сарапул: ул.Пролетарская, ул.Азина,ул.Карла Маркса.</w:t>
                  </w:r>
                  <w:r>
                    <w:rPr>
                      <w:sz w:val="22"/>
                      <w:szCs w:val="22"/>
                    </w:rPr>
                  </w:r>
                  <w:r>
                    <w:rPr>
                      <w:sz w:val="22"/>
                      <w:szCs w:val="22"/>
                    </w:rPr>
                  </w:r>
                </w:p>
                <w:p>
                  <w:pPr>
                    <w:pStyle w:val="780"/>
                    <w:rPr>
                      <w:sz w:val="22"/>
                      <w:szCs w:val="22"/>
                    </w:rPr>
                  </w:pPr>
                  <w:r>
                    <w:rPr>
                      <w:sz w:val="22"/>
                      <w:szCs w:val="22"/>
                    </w:rPr>
                    <w:t xml:space="preserve">с.Сигаево:ул.Советская.</w:t>
                  </w:r>
                  <w:r>
                    <w:rPr>
                      <w:sz w:val="22"/>
                      <w:szCs w:val="22"/>
                    </w:rPr>
                  </w:r>
                  <w:r>
                    <w:rPr>
                      <w:sz w:val="22"/>
                      <w:szCs w:val="22"/>
                    </w:rPr>
                  </w:r>
                </w:p>
                <w:p>
                  <w:pPr>
                    <w:pStyle w:val="780"/>
                    <w:rPr>
                      <w:sz w:val="22"/>
                      <w:szCs w:val="22"/>
                    </w:rPr>
                  </w:pPr>
                  <w:r>
                    <w:rPr>
                      <w:sz w:val="22"/>
                      <w:szCs w:val="22"/>
                    </w:rPr>
                    <w:t xml:space="preserve">Автодорога Сарапул-Каракулино.</w:t>
                  </w:r>
                  <w:r>
                    <w:rPr>
                      <w:sz w:val="22"/>
                      <w:szCs w:val="22"/>
                    </w:rPr>
                  </w:r>
                  <w:r>
                    <w:rPr>
                      <w:sz w:val="22"/>
                      <w:szCs w:val="22"/>
                    </w:rPr>
                  </w:r>
                </w:p>
                <w:p>
                  <w:pPr>
                    <w:pStyle w:val="780"/>
                    <w:rPr>
                      <w:sz w:val="22"/>
                      <w:szCs w:val="22"/>
                    </w:rPr>
                  </w:pPr>
                  <w:r>
                    <w:rPr>
                      <w:sz w:val="22"/>
                      <w:szCs w:val="22"/>
                    </w:rPr>
                    <w:t xml:space="preserve">с.Каракулино: ул. Каманина</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58,2</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ежедн.: 07:10</w:t>
                    <w:br/>
                    <w:t xml:space="preserve">пт, сб, вс: 12:40, 16:30</w:t>
                  </w:r>
                </w:p>
                <w:p>
                  <w:pPr>
                    <w:pStyle w:val="780"/>
                  </w:pP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ежедн.: 17:10</w:t>
                    <w:br/>
                    <w:t xml:space="preserve">пт, сб, вс: 14:35, 18:25</w:t>
                  </w:r>
                </w:p>
                <w:p>
                  <w:pPr>
                    <w:pStyle w:val="780"/>
                  </w:pP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2 ТС, малый класс и выше, Евро - 3 и более</w:t>
                  </w:r>
                </w:p>
                <w:p>
                  <w:pPr>
                    <w:pStyle w:val="780"/>
                  </w:pP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12</w:t>
                  </w:r>
                  <w:r>
                    <w:rPr>
                      <w:lang w:eastAsia="en-US"/>
                    </w:rPr>
                  </w:r>
                  <w:r>
                    <w:rPr>
                      <w:lang w:eastAsia="en-US"/>
                    </w:rPr>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г. Ижевск (АВ) - </w:t>
                    <w:br/>
                    <w:t xml:space="preserve">д. Зуевы Ключи (№ 235, № 595)</w:t>
                  </w: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с. Каменное, с. Бабино, с.Бураново, д. Пальники, с.Лагуново, д. Дикуши, д.Девятово, пов. Элеконд, ж/д вокзал,</w:t>
                  </w:r>
                  <w:r>
                    <w:rPr>
                      <w:sz w:val="22"/>
                      <w:szCs w:val="22"/>
                    </w:rPr>
                  </w:r>
                  <w:r>
                    <w:rPr>
                      <w:sz w:val="22"/>
                      <w:szCs w:val="22"/>
                    </w:rPr>
                  </w:r>
                </w:p>
                <w:p>
                  <w:pPr>
                    <w:pStyle w:val="780"/>
                    <w:rPr>
                      <w:sz w:val="22"/>
                      <w:szCs w:val="22"/>
                    </w:rPr>
                  </w:pPr>
                  <w:r>
                    <w:rPr>
                      <w:sz w:val="22"/>
                      <w:szCs w:val="22"/>
                    </w:rPr>
                    <w:t xml:space="preserve">пл. 200 лет Сарапула, г.Сарапул (АВ), с.Сигаево, д.Костино, СНТ "Заречный", с.Степной, с.Мостовое, д.Заборье, д.Пинязь, д.Котово, с.Арзамасцево, Каракулино АС, д. Колесниково, д.Чеганда, д.Бырганда, д. Нырганда</w:t>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г. Ижевск (ул.Красноармейская, ул.Карла Либнехта,</w:t>
                  </w:r>
                  <w:r>
                    <w:rPr>
                      <w:sz w:val="22"/>
                      <w:szCs w:val="22"/>
                    </w:rPr>
                  </w:r>
                  <w:r>
                    <w:rPr>
                      <w:sz w:val="22"/>
                      <w:szCs w:val="22"/>
                    </w:rPr>
                  </w:r>
                </w:p>
                <w:p>
                  <w:pPr>
                    <w:pStyle w:val="780"/>
                    <w:rPr>
                      <w:sz w:val="22"/>
                      <w:szCs w:val="22"/>
                    </w:rPr>
                  </w:pPr>
                  <w:r>
                    <w:rPr>
                      <w:sz w:val="22"/>
                      <w:szCs w:val="22"/>
                    </w:rPr>
                    <w:t xml:space="preserve">ул. Карла Маркса),</w:t>
                  </w:r>
                  <w:r>
                    <w:rPr>
                      <w:sz w:val="22"/>
                      <w:szCs w:val="22"/>
                    </w:rPr>
                  </w:r>
                  <w:r>
                    <w:rPr>
                      <w:sz w:val="22"/>
                      <w:szCs w:val="22"/>
                    </w:rPr>
                  </w:r>
                </w:p>
                <w:p>
                  <w:pPr>
                    <w:pStyle w:val="780"/>
                    <w:rPr>
                      <w:sz w:val="22"/>
                      <w:szCs w:val="22"/>
                    </w:rPr>
                  </w:pPr>
                  <w:r>
                    <w:rPr>
                      <w:sz w:val="22"/>
                      <w:szCs w:val="22"/>
                    </w:rPr>
                    <w:t xml:space="preserve">а/д «Ижевск-Сарапул», г.Сарапул (ул. Путейская, ул.Ленина, площадь 200 лет Сарапулу),</w:t>
                  </w:r>
                  <w:r>
                    <w:rPr>
                      <w:sz w:val="22"/>
                      <w:szCs w:val="22"/>
                    </w:rPr>
                  </w:r>
                  <w:r>
                    <w:rPr>
                      <w:sz w:val="22"/>
                      <w:szCs w:val="22"/>
                    </w:rPr>
                  </w:r>
                </w:p>
                <w:p>
                  <w:pPr>
                    <w:pStyle w:val="780"/>
                    <w:rPr>
                      <w:sz w:val="22"/>
                      <w:szCs w:val="22"/>
                    </w:rPr>
                  </w:pPr>
                  <w:r>
                    <w:rPr>
                      <w:sz w:val="22"/>
                      <w:szCs w:val="22"/>
                    </w:rPr>
                    <w:t xml:space="preserve">ул. Карла Маркса, ул.Пролетарская  ул.Азина, с.Сигаево (ул.Советская),</w:t>
                  </w:r>
                  <w:r>
                    <w:rPr>
                      <w:sz w:val="22"/>
                      <w:szCs w:val="22"/>
                    </w:rPr>
                  </w:r>
                  <w:r>
                    <w:rPr>
                      <w:sz w:val="22"/>
                      <w:szCs w:val="22"/>
                    </w:rPr>
                  </w:r>
                </w:p>
                <w:p>
                  <w:pPr>
                    <w:pStyle w:val="780"/>
                    <w:rPr>
                      <w:sz w:val="22"/>
                      <w:szCs w:val="22"/>
                    </w:rPr>
                  </w:pPr>
                  <w:r>
                    <w:rPr>
                      <w:sz w:val="22"/>
                      <w:szCs w:val="22"/>
                    </w:rPr>
                    <w:t xml:space="preserve">а/д «Сарапул - Каракулино»</w:t>
                  </w:r>
                  <w:r>
                    <w:rPr>
                      <w:sz w:val="22"/>
                      <w:szCs w:val="22"/>
                    </w:rPr>
                  </w:r>
                  <w:r>
                    <w:rPr>
                      <w:sz w:val="22"/>
                      <w:szCs w:val="22"/>
                    </w:rPr>
                  </w:r>
                </w:p>
                <w:p>
                  <w:pPr>
                    <w:pStyle w:val="780"/>
                    <w:rPr>
                      <w:sz w:val="22"/>
                      <w:szCs w:val="22"/>
                    </w:rPr>
                  </w:pPr>
                  <w:r>
                    <w:rPr>
                      <w:sz w:val="22"/>
                      <w:szCs w:val="22"/>
                    </w:rPr>
                    <w:t xml:space="preserve">с.Каракулино</w:t>
                  </w:r>
                  <w:r>
                    <w:rPr>
                      <w:sz w:val="22"/>
                      <w:szCs w:val="22"/>
                    </w:rPr>
                  </w:r>
                  <w:r>
                    <w:rPr>
                      <w:sz w:val="22"/>
                      <w:szCs w:val="22"/>
                    </w:rPr>
                  </w:r>
                </w:p>
                <w:p>
                  <w:pPr>
                    <w:pStyle w:val="780"/>
                    <w:rPr>
                      <w:sz w:val="22"/>
                      <w:szCs w:val="22"/>
                    </w:rPr>
                  </w:pPr>
                  <w:r>
                    <w:rPr>
                      <w:sz w:val="22"/>
                      <w:szCs w:val="22"/>
                    </w:rPr>
                    <w:t xml:space="preserve">(ул. Каманина),</w:t>
                  </w:r>
                  <w:r>
                    <w:rPr>
                      <w:sz w:val="22"/>
                      <w:szCs w:val="22"/>
                    </w:rPr>
                  </w:r>
                  <w:r>
                    <w:rPr>
                      <w:sz w:val="22"/>
                      <w:szCs w:val="22"/>
                    </w:rPr>
                  </w:r>
                </w:p>
                <w:p>
                  <w:pPr>
                    <w:pStyle w:val="780"/>
                    <w:rPr>
                      <w:sz w:val="22"/>
                      <w:szCs w:val="22"/>
                    </w:rPr>
                  </w:pPr>
                  <w:r>
                    <w:rPr>
                      <w:sz w:val="22"/>
                      <w:szCs w:val="22"/>
                    </w:rPr>
                    <w:t xml:space="preserve">а/д «(Каракулино-Красный Бор)-Зуевы Ключи»</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160</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пт, сб, вс: 06:15</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пт, сб, вс: 12:20</w:t>
                  </w:r>
                </w:p>
                <w:p>
                  <w:pPr>
                    <w:pStyle w:val="780"/>
                  </w:pP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2 ТС, малый класс и выше, Евро 4 и более</w:t>
                  </w:r>
                </w:p>
                <w:p>
                  <w:pPr>
                    <w:pStyle w:val="780"/>
                  </w:pP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13</w:t>
                  </w:r>
                  <w:r>
                    <w:rPr>
                      <w:lang w:eastAsia="en-US"/>
                    </w:rPr>
                  </w:r>
                  <w:r>
                    <w:rPr>
                      <w:lang w:eastAsia="en-US"/>
                    </w:rPr>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г. Глазов – д. Кыпка, ч/з д. Чура (№ 93, № 417)</w:t>
                  </w: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г.Глазов («Автовокзал – Железнодорожный вокзал», «Коммерческий центр», «Глазовский районный суд», «Мини рынок «Западный», «Микрорайон «Западный»), д.Нижняя Убыть, д.Верхняя Убыть, СНТ "Васильки", СНТ "Ручеек", д. Чура</w:t>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г.Глазов (ул.Сулимова - ул.Пряженникова - ул.Мира - ул.Кирова - ул.Чехова - ул.Вятская - ул.Гоголя - ул.Кировская), а/д "Глазов - Яр", а/д "В.Убыть-Чура", а/д  "Чура-Кыпка"</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17,2</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highlight w:val="none"/>
                    </w:rPr>
                  </w:pPr>
                  <w:r>
                    <w:t xml:space="preserve">с 01:04 по 30.09</w:t>
                    <w:br/>
                    <w:t xml:space="preserve">будни: 0</w:t>
                  </w:r>
                  <w:r>
                    <w:t xml:space="preserve">6</w:t>
                  </w:r>
                  <w:r>
                    <w:t xml:space="preserve">:</w:t>
                  </w:r>
                  <w:r>
                    <w:t xml:space="preserve">05</w:t>
                  </w:r>
                  <w:r>
                    <w:t xml:space="preserve">, 09:30, 1</w:t>
                  </w:r>
                  <w:r>
                    <w:t xml:space="preserve">3</w:t>
                  </w:r>
                  <w:r>
                    <w:t xml:space="preserve">:</w:t>
                  </w:r>
                  <w:r>
                    <w:t xml:space="preserve">0</w:t>
                  </w:r>
                  <w:r>
                    <w:t xml:space="preserve">0, 19:0</w:t>
                  </w:r>
                  <w:r>
                    <w:t xml:space="preserve">0</w:t>
                  </w:r>
                  <w:r>
                    <w:br/>
                    <w:t xml:space="preserve">сб, вс: 0</w:t>
                  </w:r>
                  <w:r>
                    <w:t xml:space="preserve">8:00</w:t>
                  </w:r>
                  <w:r>
                    <w:t xml:space="preserve">, 09:30, 1</w:t>
                  </w:r>
                  <w:r>
                    <w:t xml:space="preserve">3</w:t>
                  </w:r>
                  <w:r>
                    <w:t xml:space="preserve">:</w:t>
                  </w:r>
                  <w:r>
                    <w:t xml:space="preserve">0</w:t>
                  </w:r>
                  <w:r>
                    <w:t xml:space="preserve">0, 19:</w:t>
                  </w:r>
                  <w:r>
                    <w:t xml:space="preserve">00</w:t>
                  </w:r>
                  <w:r>
                    <w:rPr>
                      <w:highlight w:val="none"/>
                    </w:rPr>
                  </w:r>
                  <w:r>
                    <w:rPr>
                      <w:highlight w:val="none"/>
                    </w:rPr>
                  </w:r>
                </w:p>
                <w:p>
                  <w:pPr>
                    <w:pStyle w:val="780"/>
                  </w:pPr>
                  <w:r>
                    <w:t xml:space="preserve">с 01:10 по 31.03</w:t>
                    <w:br/>
                    <w:t xml:space="preserve">будни: 0</w:t>
                  </w:r>
                  <w:r>
                    <w:t xml:space="preserve">6</w:t>
                  </w:r>
                  <w:r>
                    <w:t xml:space="preserve">:</w:t>
                  </w:r>
                  <w:r>
                    <w:t xml:space="preserve">0</w:t>
                  </w:r>
                  <w:r>
                    <w:t xml:space="preserve">5, 1</w:t>
                  </w:r>
                  <w:r>
                    <w:t xml:space="preserve">3</w:t>
                  </w:r>
                  <w:r>
                    <w:t xml:space="preserve">:</w:t>
                  </w:r>
                  <w:r>
                    <w:t xml:space="preserve">0</w:t>
                  </w:r>
                  <w:r>
                    <w:t xml:space="preserve">0, 19:0</w:t>
                  </w:r>
                  <w:r>
                    <w:t xml:space="preserve">0</w:t>
                  </w:r>
                  <w:r>
                    <w:br/>
                    <w:t xml:space="preserve">сб, вс: 0</w:t>
                  </w:r>
                  <w:r>
                    <w:t xml:space="preserve">7</w:t>
                  </w:r>
                  <w:r>
                    <w:t xml:space="preserve">:0</w:t>
                  </w:r>
                  <w:r>
                    <w:t xml:space="preserve">5</w:t>
                  </w:r>
                  <w:r>
                    <w:t xml:space="preserve">, 1</w:t>
                  </w:r>
                  <w:r>
                    <w:t xml:space="preserve">3</w:t>
                  </w:r>
                  <w:r>
                    <w:t xml:space="preserve">:</w:t>
                  </w:r>
                  <w:r>
                    <w:t xml:space="preserve">15, 16:</w:t>
                  </w:r>
                  <w:r>
                    <w:t xml:space="preserve">00</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highlight w:val="none"/>
                    </w:rPr>
                  </w:pPr>
                  <w:r>
                    <w:t xml:space="preserve">с 01:04 по 30.09</w:t>
                    <w:br/>
                    <w:t xml:space="preserve">будни: 0</w:t>
                  </w:r>
                  <w:r>
                    <w:t xml:space="preserve">7</w:t>
                  </w:r>
                  <w:r>
                    <w:t xml:space="preserve">:</w:t>
                  </w:r>
                  <w:r>
                    <w:t xml:space="preserve">0</w:t>
                  </w:r>
                  <w:r>
                    <w:t xml:space="preserve">5, 10:05, 13:</w:t>
                  </w:r>
                  <w:r>
                    <w:t xml:space="preserve">3</w:t>
                  </w:r>
                  <w:r>
                    <w:t xml:space="preserve">5, 19:35</w:t>
                    <w:br/>
                    <w:t xml:space="preserve">сб, вс: 08:</w:t>
                  </w:r>
                  <w:r>
                    <w:t xml:space="preserve">35</w:t>
                  </w:r>
                  <w:r>
                    <w:t xml:space="preserve">, 10:05, 13:</w:t>
                  </w:r>
                  <w:r>
                    <w:t xml:space="preserve">3</w:t>
                  </w:r>
                  <w:r>
                    <w:t xml:space="preserve">5, 19:</w:t>
                  </w:r>
                  <w:r>
                    <w:t xml:space="preserve">35</w:t>
                  </w:r>
                  <w:r>
                    <w:rPr>
                      <w:highlight w:val="none"/>
                    </w:rPr>
                  </w:r>
                  <w:r>
                    <w:rPr>
                      <w:highlight w:val="none"/>
                    </w:rPr>
                  </w:r>
                </w:p>
                <w:p>
                  <w:pPr>
                    <w:pStyle w:val="780"/>
                  </w:pPr>
                  <w:r>
                    <w:t xml:space="preserve">с 01:10 по 31.03</w:t>
                    <w:br/>
                    <w:t xml:space="preserve">будни: 0</w:t>
                  </w:r>
                  <w:r>
                    <w:t xml:space="preserve">7</w:t>
                  </w:r>
                  <w:r>
                    <w:t xml:space="preserve">:</w:t>
                  </w:r>
                  <w:r>
                    <w:t xml:space="preserve">0</w:t>
                  </w:r>
                  <w:r>
                    <w:t xml:space="preserve">5, 13:3</w:t>
                  </w:r>
                  <w:r>
                    <w:t xml:space="preserve">5</w:t>
                  </w:r>
                  <w:r>
                    <w:t xml:space="preserve">, 19:</w:t>
                  </w:r>
                  <w:r>
                    <w:t xml:space="preserve">35</w:t>
                  </w:r>
                  <w:r>
                    <w:br/>
                    <w:t xml:space="preserve">сб, вс: 08:00, 14:0</w:t>
                  </w:r>
                  <w:r>
                    <w:t xml:space="preserve">0, 16:</w:t>
                  </w:r>
                  <w:r>
                    <w:t xml:space="preserve">35</w:t>
                  </w:r>
                </w:p>
                <w:p>
                  <w:pPr>
                    <w:pStyle w:val="780"/>
                  </w:pP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2 ТС, малый класс и выше, не установлены</w:t>
                  </w:r>
                </w:p>
                <w:p>
                  <w:pPr>
                    <w:pStyle w:val="780"/>
                  </w:pP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14</w:t>
                  </w:r>
                  <w:r>
                    <w:rPr>
                      <w:lang w:eastAsia="en-US"/>
                    </w:rPr>
                  </w:r>
                  <w:r>
                    <w:rPr>
                      <w:lang w:eastAsia="en-US"/>
                    </w:rPr>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г. Глазов (АВ) –</w:t>
                  </w:r>
                </w:p>
                <w:p>
                  <w:pPr>
                    <w:pStyle w:val="780"/>
                  </w:pPr>
                  <w:r>
                    <w:t xml:space="preserve">д. Кожиль (№ 95, № 419)</w:t>
                  </w: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г.Глазов («Автовокзал – Железнодорожный вокзал», «Коммерческий центр», «Глазовский районный суд», «Мини рынок «Западный», «Микрорайон «Западный»), д.Нижняя Убыть</w:t>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г.Глазов: (ул.Сулимова - ул.Пряженникова - ул.Мира - ул.Кирова - ул.Чехова - ул.Вятская - ул.Гоголя - ул.Кировская) - а/д "Глазов-Яр-Пудем"</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15,6</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Будни: </w:t>
                  </w:r>
                  <w:r>
                    <w:t xml:space="preserve">06:30</w:t>
                  </w:r>
                  <w:r>
                    <w:t xml:space="preserve">, 0</w:t>
                  </w:r>
                  <w:r>
                    <w:t xml:space="preserve">8:</w:t>
                  </w:r>
                  <w:r>
                    <w:t xml:space="preserve">00, 14:</w:t>
                  </w:r>
                  <w:r>
                    <w:t xml:space="preserve">00, 18:</w:t>
                  </w:r>
                  <w:r>
                    <w:t xml:space="preserve">10</w:t>
                  </w:r>
                  <w:r>
                    <w:br/>
                    <w:t xml:space="preserve">сб, вс: 07:</w:t>
                  </w:r>
                  <w:r>
                    <w:t xml:space="preserve">30, 14:</w:t>
                  </w:r>
                  <w:r>
                    <w:t xml:space="preserve">00, 18:</w:t>
                  </w:r>
                  <w:r>
                    <w:t xml:space="preserve">10</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будни: </w:t>
                  </w:r>
                  <w:r>
                    <w:t xml:space="preserve">07</w:t>
                  </w:r>
                  <w:r>
                    <w:t xml:space="preserve">:</w:t>
                  </w:r>
                  <w:r>
                    <w:t xml:space="preserve">05</w:t>
                  </w:r>
                  <w:r>
                    <w:t xml:space="preserve">, 0</w:t>
                  </w:r>
                  <w:r>
                    <w:t xml:space="preserve">8</w:t>
                  </w:r>
                  <w:r>
                    <w:t xml:space="preserve">:</w:t>
                  </w:r>
                  <w:r>
                    <w:t xml:space="preserve">35, 14:</w:t>
                  </w:r>
                  <w:r>
                    <w:t xml:space="preserve">35, 18:</w:t>
                  </w:r>
                  <w:r>
                    <w:t xml:space="preserve">45</w:t>
                    <w:br/>
                    <w:t xml:space="preserve">сб, вс: 08:05, 14:</w:t>
                  </w:r>
                  <w:r>
                    <w:t xml:space="preserve">35, 18:</w:t>
                  </w:r>
                  <w:r>
                    <w:t xml:space="preserve">45</w:t>
                  </w:r>
                </w:p>
                <w:p>
                  <w:pPr>
                    <w:pStyle w:val="780"/>
                  </w:pP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2 ТС, малый класс и выше, не установлены</w:t>
                  </w:r>
                </w:p>
                <w:p>
                  <w:pPr>
                    <w:pStyle w:val="780"/>
                  </w:pP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15</w:t>
                  </w:r>
                  <w:r>
                    <w:rPr>
                      <w:lang w:eastAsia="en-US"/>
                    </w:rPr>
                  </w:r>
                  <w:r>
                    <w:rPr>
                      <w:lang w:eastAsia="en-US"/>
                    </w:rPr>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г. Воткинск – СНТ Факел (сезонный) </w:t>
                    <w:br/>
                    <w:t xml:space="preserve">(№ 78, № 402)</w:t>
                  </w: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ХПП, СНТ № 10, д.Гавриловка, СДТ "Гавриловка"</w:t>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г. Воткинск (ул. Кирова, ул. Шувалова, ул.Пролетарская), а/д "Воткинск-Степаново"</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10,7</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highlight w:val="none"/>
                    </w:rPr>
                  </w:pPr>
                  <w:r>
                    <w:t xml:space="preserve">вт, ср, чт, пт: 09:30</w:t>
                  </w:r>
                  <w:r>
                    <w:rPr>
                      <w:highlight w:val="none"/>
                    </w:rPr>
                  </w:r>
                  <w:r>
                    <w:rPr>
                      <w:highlight w:val="none"/>
                    </w:rPr>
                  </w:r>
                </w:p>
                <w:p>
                  <w:pPr>
                    <w:pStyle w:val="780"/>
                  </w:pPr>
                  <w:r>
                    <w:t xml:space="preserve">Сб, вс: 09:30, </w:t>
                    <w:br/>
                    <w:t xml:space="preserve">(с 01.06 по 31.08) 19:00</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highlight w:val="none"/>
                    </w:rPr>
                  </w:pPr>
                  <w:r>
                    <w:t xml:space="preserve">вт, ср, чт, пт: 10:00</w:t>
                  </w:r>
                  <w:r>
                    <w:rPr>
                      <w:highlight w:val="none"/>
                    </w:rPr>
                  </w:r>
                  <w:r>
                    <w:rPr>
                      <w:highlight w:val="none"/>
                    </w:rPr>
                  </w:r>
                </w:p>
                <w:p>
                  <w:pPr>
                    <w:pStyle w:val="780"/>
                    <w:rPr>
                      <w:highlight w:val="none"/>
                    </w:rPr>
                  </w:pPr>
                  <w:r>
                    <w:t xml:space="preserve">Сб, вс: 10:00,</w:t>
                  </w:r>
                  <w:r>
                    <w:rPr>
                      <w:highlight w:val="none"/>
                    </w:rPr>
                  </w:r>
                  <w:r>
                    <w:rPr>
                      <w:highlight w:val="none"/>
                    </w:rPr>
                  </w:r>
                </w:p>
                <w:p>
                  <w:pPr>
                    <w:pStyle w:val="780"/>
                  </w:pPr>
                  <w:r>
                    <w:t xml:space="preserve">(с 01.06 по 31.08) 19:30</w:t>
                  </w:r>
                </w:p>
                <w:p>
                  <w:pPr>
                    <w:pStyle w:val="780"/>
                  </w:pP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2 ТС, малый класс и выше, не установлены</w:t>
                  </w:r>
                </w:p>
                <w:p>
                  <w:pPr>
                    <w:pStyle w:val="780"/>
                  </w:pP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17</w:t>
                  </w:r>
                  <w:r>
                    <w:rPr>
                      <w:lang w:eastAsia="en-US"/>
                    </w:rPr>
                  </w:r>
                  <w:r>
                    <w:rPr>
                      <w:lang w:eastAsia="en-US"/>
                    </w:rPr>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г. Ижевск (ул. Районная) - СНТ «Суходол» (сезонный) (№ 162, № 482)</w:t>
                  </w: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Птицефабрика, Нефтеразведка (с. Завьялово), с.Завьялово, СНТ «Геолог-1», пов. на д. Новое Мартьяново, СНТ «Геолог-2», пов. на д.Н.Казмаска, пов. на СНТ «Петушки», ДОЛ «Сказка», д.Забегалово, пов. на с. Гольяны, пов. на СНТ «Лира», СНТ «Камское», СНТ«Лира»</w:t>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ул.Ленина, Гольянский тракт</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49,9</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сб: 07:20, вс: 17:50</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сб: 08:50, вс: 19:20</w:t>
                  </w: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2 ТС, малый класс и выше, не установлены</w:t>
                  </w:r>
                </w:p>
                <w:p>
                  <w:pPr>
                    <w:pStyle w:val="780"/>
                  </w:pP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18</w:t>
                  </w:r>
                  <w:r>
                    <w:rPr>
                      <w:lang w:eastAsia="en-US"/>
                    </w:rPr>
                  </w:r>
                  <w:r>
                    <w:rPr>
                      <w:lang w:eastAsia="en-US"/>
                    </w:rPr>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г.Ижевск (остановка «Сельхозакадемия») - СНТ «Загородный» -</w:t>
                  </w:r>
                </w:p>
                <w:p>
                  <w:pPr>
                    <w:pStyle w:val="780"/>
                  </w:pPr>
                  <w:r>
                    <w:t xml:space="preserve">г.Ижевск (ост. «Парк им. Кирова») (№ 153, № 470к)</w:t>
                  </w: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Телецентр, Дом природы, 7 км Якшур-Бодьинского тракта, 9 км Якшур-Бодьинского тракта, 10 км Якшур-Бодьинского тракта, 11 км Якшур-Бодьинского тракта, 14 км Якшур-Бодьинского тракта, 16 км Якшур-Бодьинского тракта, с/о «Италмас»</w:t>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ул. Кирова, ул.Песочная, Якшур-Бодьинский тракт, а/д от Якшур-Бодьинского тракта до СНТ "Загородный"</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14,5</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ежедн.: 07:15, 08:15, 09:15, 10:15, 12:15, 13:15, 14:15, 15:15, 17:15, 18:15, 19:15</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ежедн.: 7:45, 8:45, </w:t>
                    <w:br/>
                    <w:t xml:space="preserve">9:45, 10:45, 12:45, </w:t>
                    <w:br/>
                    <w:t xml:space="preserve">13:45, 14:45, 15:45, 17:45, 18:45, 19:45</w:t>
                  </w: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2 ТС, малый класс и выше, не установлены</w:t>
                  </w:r>
                </w:p>
                <w:p>
                  <w:pPr>
                    <w:pStyle w:val="780"/>
                  </w:pP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19</w:t>
                  </w:r>
                  <w:r>
                    <w:rPr>
                      <w:lang w:eastAsia="en-US"/>
                    </w:rPr>
                  </w:r>
                  <w:r>
                    <w:rPr>
                      <w:lang w:eastAsia="en-US"/>
                    </w:rPr>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г. Глазов (пл. Свободы) - СНТ «Южное»</w:t>
                    <w:br/>
                    <w:t xml:space="preserve">(№ 162.16, № 498)</w:t>
                  </w: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ул.Сулимова, ул.Циолковского, автомобильная дорога "Глазов - Юкаменское", а/д"Педоново - М.Вениж"</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19,3</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ежедн. </w:t>
                    <w:br/>
                    <w:t xml:space="preserve">(с 1 мая по 1 октября): 07:00, 09:00, 11:00, 15:00, 17:00</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ежедн. </w:t>
                    <w:br/>
                    <w:t xml:space="preserve">(с 1 мая по 1 октября): 08:00, 10:00, 12:00, 16:00, 18:00</w:t>
                  </w: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2 ТС, малый класс и выше, не установлены</w:t>
                  </w:r>
                </w:p>
                <w:p>
                  <w:pPr>
                    <w:pStyle w:val="780"/>
                  </w:pP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20</w:t>
                  </w:r>
                  <w:r>
                    <w:rPr>
                      <w:lang w:eastAsia="en-US"/>
                    </w:rPr>
                  </w:r>
                  <w:r>
                    <w:rPr>
                      <w:lang w:eastAsia="en-US"/>
                    </w:rPr>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г. Глазов (пл. Свободы) - СНТ «Березка» </w:t>
                    <w:br/>
                    <w:t xml:space="preserve">(№ 162.17, № 499)</w:t>
                  </w: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ул.Сулимова, ул.Циолковского, автомобильная дорога "Глазов - Юкаменское"</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12,4</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ежедн. </w:t>
                    <w:br/>
                    <w:t xml:space="preserve">(с 1 мая по 1 октября): 08:30, 11:00, 18:00</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ежедн. </w:t>
                    <w:br/>
                    <w:t xml:space="preserve">(с 1 мая по 1 октября): 09:00, 11:30, 18:30</w:t>
                  </w: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2 ТС, малый класс и выше, не установлены</w:t>
                  </w:r>
                </w:p>
                <w:p>
                  <w:pPr>
                    <w:pStyle w:val="780"/>
                  </w:pP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21</w:t>
                  </w:r>
                  <w:r>
                    <w:rPr>
                      <w:lang w:eastAsia="en-US"/>
                    </w:rPr>
                  </w:r>
                  <w:r>
                    <w:rPr>
                      <w:lang w:eastAsia="en-US"/>
                    </w:rPr>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г. Глазов (ул. Калинина) - СНТ «Убыть» (сезонный) (№ 105, </w:t>
                    <w:br/>
                    <w:t xml:space="preserve">№ 428)</w:t>
                  </w: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в прямом направлении: г. Глазов (пл. Свободы)</w:t>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ул. Калинина, ул. Сулимова, ул. Кирова, автомобильная дорога "Глазов - Яр"</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17,5</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ежедн.: 09:30, 12:30, 16:00, 18:30</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ежедн.: 10:10, 13:10, 16:40, 19:10</w:t>
                  </w: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2 ТС, малый класс и выше, не установлены</w:t>
                  </w:r>
                </w:p>
                <w:p>
                  <w:pPr>
                    <w:pStyle w:val="780"/>
                  </w:pP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22</w:t>
                  </w:r>
                  <w:r>
                    <w:rPr>
                      <w:lang w:eastAsia="en-US"/>
                    </w:rPr>
                  </w:r>
                  <w:r>
                    <w:rPr>
                      <w:lang w:eastAsia="en-US"/>
                    </w:rPr>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г. Глазов (пл. Свободы) - СНТ «Пионер»(сезонный) </w:t>
                    <w:br/>
                    <w:t xml:space="preserve">(№ 155, </w:t>
                    <w:br/>
                    <w:t xml:space="preserve">№ 472)</w:t>
                  </w: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Площадь свободы,</w:t>
                  </w:r>
                  <w:r>
                    <w:rPr>
                      <w:sz w:val="22"/>
                      <w:szCs w:val="22"/>
                    </w:rPr>
                  </w:r>
                  <w:r>
                    <w:rPr>
                      <w:sz w:val="22"/>
                      <w:szCs w:val="22"/>
                    </w:rPr>
                  </w:r>
                </w:p>
                <w:p>
                  <w:pPr>
                    <w:pStyle w:val="780"/>
                    <w:rPr>
                      <w:sz w:val="22"/>
                      <w:szCs w:val="22"/>
                    </w:rPr>
                  </w:pPr>
                  <w:r>
                    <w:rPr>
                      <w:sz w:val="22"/>
                      <w:szCs w:val="22"/>
                    </w:rPr>
                    <w:t xml:space="preserve">ул. Революции, ул. Сулимова, Путепровод, ул. Драгунова, ул Советская, ул. Техническая, ул. Удмуртская, а/д «Объездная  г. Глазов»</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16</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ежедн.: 08:30, 12:00, 16:00, 20:00</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ежедн.: 09:10, 12:40, 16:40, 20:40</w:t>
                  </w: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2 ТС, малый класс и выше, не установлены</w:t>
                  </w:r>
                </w:p>
                <w:p>
                  <w:pPr>
                    <w:pStyle w:val="780"/>
                  </w:pP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23</w:t>
                  </w:r>
                  <w:r>
                    <w:rPr>
                      <w:lang w:eastAsia="en-US"/>
                    </w:rPr>
                  </w:r>
                  <w:r>
                    <w:rPr>
                      <w:lang w:eastAsia="en-US"/>
                    </w:rPr>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г. Ижевск (ул.Промышленная) - </w:t>
                    <w:br/>
                    <w:t xml:space="preserve">д. Позимь - г. Ижевск (ул.Промышленная) </w:t>
                    <w:br/>
                    <w:t xml:space="preserve">(№ 40,</w:t>
                    <w:br/>
                    <w:t xml:space="preserve">№ 344)</w:t>
                  </w: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В прямом направлении: ул.Промышленная, уд.Мельничная, завод "Нефтемаш", ул. Ракетная, Госархив, Радиотехника, ТЦ "Лента", пос.Октябрьский, пов.на Опытную станцию, СНТ "Наука", д.Позимь, нефтебаза "Медведь";                 </w:t>
                  </w:r>
                  <w:r>
                    <w:rPr>
                      <w:sz w:val="22"/>
                      <w:szCs w:val="22"/>
                    </w:rPr>
                    <w:t xml:space="preserve">                  В обратном направление: нефтебаза "Медведь, д.Позимь, СНТ "Наука", пов. на Опытную станцию, пос.Октябрьский, ТЦ "Лента", Рембыттехника, Радиотехника, "Ваш дом", Ипподром, ул.Воровского, ул.К.Либкнехта, Механический завод, ул. Промышленная</w:t>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В прямом направлении: г.Ижевск (ул.Промышленная, ул.Орджоникидзе, ул. 40 лет Победы, ул.Перв</w:t>
                  </w:r>
                  <w:r>
                    <w:rPr>
                      <w:sz w:val="22"/>
                      <w:szCs w:val="22"/>
                    </w:rPr>
                    <w:t xml:space="preserve">омайская, ул.Ленина), Гольянский тракт, а/д "(Ижевск-Первомайский)-Позимь", д.Позимь (ул.Восточная); В обратном направлении: д.Позимь (ул.Восточная); а/д "(Ижевск-Первомайский)-Позимь", Гольянский тракт, г.Ижевск (ул.Ленина, ул.Воровского, ул.Промышленная)</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30,4</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ежедн.: 6:20, 7:35, 9:40, 10:50, 14:15, 16:30, 17:40, 19:35</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ежедн.: 6:50, 8:10, 10:10, 12:55, 15:50, 17:00, 18:55, 20:05</w:t>
                  </w: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1 ТС, малый класс и выше, евро 3,4</w:t>
                  </w:r>
                </w:p>
                <w:p>
                  <w:pPr>
                    <w:pStyle w:val="780"/>
                  </w:pPr>
                </w:p>
              </w:tc>
            </w:tr>
            <w:tr>
              <w:trPr>
                <w:trHeight w:val="839"/>
              </w:trPr>
              <w:tblPrEx/>
              <w:tc>
                <w:tcPr>
                  <w:tcW w:w="568" w:type="dxa"/>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24</w:t>
                  </w:r>
                  <w:r>
                    <w:rPr>
                      <w:lang w:eastAsia="en-US"/>
                    </w:rPr>
                  </w:r>
                  <w:r>
                    <w:rPr>
                      <w:lang w:eastAsia="en-US"/>
                    </w:rPr>
                  </w:r>
                </w:p>
              </w:tc>
              <w:tc>
                <w:tcPr>
                  <w:tcW w:w="1560"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г. Глазов (АВ) – </w:t>
                    <w:br/>
                    <w:t xml:space="preserve">д. Чура, ч/з </w:t>
                    <w:br/>
                    <w:t xml:space="preserve">д. Кожиль (№ 63.1, </w:t>
                    <w:br/>
                    <w:t xml:space="preserve">№ 371)</w:t>
                  </w:r>
                </w:p>
              </w:tc>
              <w:tc>
                <w:tcPr>
                  <w:tcW w:w="2125"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Физико-математический лицей, Прокуратура, Микрорайон "Западный", д. Нижняя Убыть,</w:t>
                  </w:r>
                  <w:r>
                    <w:rPr>
                      <w:sz w:val="22"/>
                      <w:szCs w:val="22"/>
                    </w:rPr>
                  </w:r>
                  <w:r>
                    <w:rPr>
                      <w:sz w:val="22"/>
                      <w:szCs w:val="22"/>
                    </w:rPr>
                  </w:r>
                </w:p>
                <w:p>
                  <w:pPr>
                    <w:pStyle w:val="780"/>
                    <w:rPr>
                      <w:sz w:val="22"/>
                      <w:szCs w:val="22"/>
                    </w:rPr>
                  </w:pPr>
                  <w:r>
                    <w:rPr>
                      <w:sz w:val="22"/>
                      <w:szCs w:val="22"/>
                    </w:rPr>
                    <w:t xml:space="preserve">д. Верхняя Убыть, д. Чура, д. Верхняя Убыть</w:t>
                  </w:r>
                  <w:r>
                    <w:rPr>
                      <w:sz w:val="22"/>
                      <w:szCs w:val="22"/>
                    </w:rPr>
                  </w:r>
                  <w:r>
                    <w:rPr>
                      <w:sz w:val="22"/>
                      <w:szCs w:val="22"/>
                    </w:rPr>
                  </w:r>
                </w:p>
              </w:tc>
              <w:tc>
                <w:tcPr>
                  <w:tcW w:w="1984"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г.Г</w:t>
                  </w:r>
                  <w:r>
                    <w:rPr>
                      <w:sz w:val="22"/>
                      <w:szCs w:val="22"/>
                    </w:rPr>
                    <w:t xml:space="preserve">лазов: (ул.Сулимова - ул.Пряженникова - ул.Мира - ул.Кирова - ул.Чехова - ул.Вятская - ул.Гоголя - ул.Кировская) - а/д "Глазов-Яр-Пудем", д. Верхняя Убыть (ул. Верх-Убытская улица), а/д </w:t>
                    <w:br/>
                    <w:t xml:space="preserve">В. Убыть - Чура, д. Кожиль (ул. Кировская), д. Чура (ул. Центральная)</w:t>
                  </w:r>
                  <w:r>
                    <w:rPr>
                      <w:sz w:val="22"/>
                      <w:szCs w:val="22"/>
                    </w:rPr>
                  </w:r>
                  <w:r>
                    <w:rPr>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41,4</w:t>
                  </w: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p>
              </w:tc>
              <w:tc>
                <w:tcPr>
                  <w:tcW w:w="1423"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пн, вт, ср, чт, пт: 05:50, 07:30, 12:40, 17:30; </w:t>
                    <w:br/>
                    <w:t xml:space="preserve">сб, вс: 06:50, 12:40, 17:30</w:t>
                  </w:r>
                </w:p>
              </w:tc>
              <w:tc>
                <w:tcPr>
                  <w:tcW w:w="1412" w:type="dxa"/>
                  <w:tcBorders>
                    <w:top w:val="single" w:color="000000" w:sz="4" w:space="0"/>
                    <w:left w:val="single" w:color="000000" w:sz="4" w:space="0"/>
                    <w:bottom w:val="single" w:color="000000" w:sz="4" w:space="0"/>
                    <w:right w:val="single" w:color="000000" w:sz="4" w:space="0"/>
                  </w:tcBorders>
                  <w:noWrap w:val="false"/>
                  <w:textDirection w:val="lrTb"/>
                </w:tcPr>
                <w:p>
                  <w:pPr>
                    <w:pStyle w:val="780"/>
                    <w:rPr>
                      <w:highlight w:val="none"/>
                    </w:rPr>
                  </w:pPr>
                  <w:r>
                    <w:t xml:space="preserve">пн, вт, ср, чт, пт: 06:40, 08:20, 13:30, 18:20; </w:t>
                    <w:br/>
                    <w:t xml:space="preserve">сб, вс:</w:t>
                  </w:r>
                  <w:r>
                    <w:rPr>
                      <w:highlight w:val="none"/>
                    </w:rPr>
                  </w:r>
                  <w:r>
                    <w:rPr>
                      <w:highlight w:val="none"/>
                    </w:rPr>
                  </w:r>
                </w:p>
                <w:p>
                  <w:pPr>
                    <w:pStyle w:val="780"/>
                  </w:pPr>
                  <w:r>
                    <w:t xml:space="preserve">07:40, 13:30, 18:20</w:t>
                  </w:r>
                </w:p>
              </w:tc>
              <w:tc>
                <w:tcPr>
                  <w:tcW w:w="1699" w:type="dxa"/>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2 ТС, малый класс и выше, не установлены</w:t>
                  </w:r>
                </w:p>
              </w:tc>
            </w:tr>
            <w:tr>
              <w:trPr>
                <w:trHeight w:val="839"/>
              </w:trPr>
              <w:tblPrEx/>
              <w:tc>
                <w:tcPr>
                  <w:tcW w:w="568" w:type="dxa"/>
                  <w:vMerge w:val="restart"/>
                  <w:tcBorders>
                    <w:top w:val="single" w:color="000000" w:sz="4" w:space="0"/>
                    <w:left w:val="single" w:color="000000" w:sz="4" w:space="0"/>
                    <w:bottom w:val="single" w:color="000000" w:sz="4" w:space="0"/>
                    <w:right w:val="single" w:color="000000" w:sz="4" w:space="0"/>
                  </w:tcBorders>
                  <w:noWrap w:val="false"/>
                  <w:textDirection w:val="lrTb"/>
                </w:tcPr>
                <w:p>
                  <w:pPr>
                    <w:pStyle w:val="780"/>
                    <w:jc w:val="center"/>
                    <w:rPr>
                      <w:lang w:eastAsia="en-US"/>
                    </w:rPr>
                  </w:pPr>
                  <w:r>
                    <w:rPr>
                      <w:lang w:eastAsia="en-US"/>
                    </w:rPr>
                    <w:t xml:space="preserve">25</w:t>
                  </w:r>
                  <w:r>
                    <w:rPr>
                      <w:lang w:eastAsia="en-US"/>
                    </w:rPr>
                  </w:r>
                  <w:r>
                    <w:rPr>
                      <w:lang w:eastAsia="en-US"/>
                    </w:rPr>
                  </w:r>
                </w:p>
              </w:tc>
              <w:tc>
                <w:tcPr>
                  <w:tcW w:w="1560" w:type="dxa"/>
                  <w:vMerge w:val="restart"/>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г. Ижевск (Центральный автовокзал) – с. Малая Пурга (ул. Советская, 1а) (№ 21.1, № 323Д)</w:t>
                  </w:r>
                </w:p>
              </w:tc>
              <w:tc>
                <w:tcPr>
                  <w:tcW w:w="2125" w:type="dxa"/>
                  <w:vMerge w:val="restart"/>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Ост. «ж/д вокзал </w:t>
                    <w:br/>
                    <w:t xml:space="preserve">г. Ижевск», </w:t>
                    <w:br/>
                    <w:t xml:space="preserve">ост. Малая Венья, ост. Большая Венья, ост. Совхозный, ост. Пов.на Юськи, ост. Миндерево, ост. «Рынок </w:t>
                    <w:br/>
                    <w:t xml:space="preserve">с. М. Пурга»</w:t>
                  </w:r>
                  <w:r>
                    <w:rPr>
                      <w:sz w:val="22"/>
                      <w:szCs w:val="22"/>
                    </w:rPr>
                  </w:r>
                  <w:r>
                    <w:rPr>
                      <w:sz w:val="22"/>
                      <w:szCs w:val="22"/>
                    </w:rPr>
                  </w:r>
                </w:p>
              </w:tc>
              <w:tc>
                <w:tcPr>
                  <w:tcW w:w="1984" w:type="dxa"/>
                  <w:vMerge w:val="restart"/>
                  <w:tcBorders>
                    <w:top w:val="single" w:color="000000" w:sz="4" w:space="0"/>
                    <w:left w:val="single" w:color="000000" w:sz="4" w:space="0"/>
                    <w:bottom w:val="single" w:color="000000" w:sz="4" w:space="0"/>
                    <w:right w:val="single" w:color="000000" w:sz="4" w:space="0"/>
                  </w:tcBorders>
                  <w:noWrap w:val="false"/>
                  <w:textDirection w:val="lrTb"/>
                </w:tcPr>
                <w:p>
                  <w:pPr>
                    <w:pStyle w:val="780"/>
                    <w:rPr>
                      <w:sz w:val="22"/>
                      <w:szCs w:val="22"/>
                    </w:rPr>
                  </w:pPr>
                  <w:r>
                    <w:rPr>
                      <w:sz w:val="22"/>
                      <w:szCs w:val="22"/>
                    </w:rPr>
                    <w:t xml:space="preserve">В прямом направлении: </w:t>
                    <w:br/>
                    <w:t xml:space="preserve">г. Ижевск, </w:t>
                    <w:br/>
                    <w:t xml:space="preserve">ул. К.Маркса, </w:t>
                    <w:br/>
                    <w:t xml:space="preserve">ул. К. Либкнехта, ул. М.Горького, ул. Маяковского, ул. Гагарина, </w:t>
                  </w:r>
                  <w:r>
                    <w:rPr>
                      <w:sz w:val="22"/>
                      <w:szCs w:val="22"/>
                    </w:rPr>
                  </w:r>
                  <w:r>
                    <w:rPr>
                      <w:sz w:val="22"/>
                      <w:szCs w:val="22"/>
                    </w:rPr>
                  </w:r>
                </w:p>
                <w:p>
                  <w:pPr>
                    <w:rPr>
                      <w:sz w:val="22"/>
                      <w:szCs w:val="22"/>
                    </w:rPr>
                  </w:pPr>
                  <w:r>
                    <w:rPr>
                      <w:sz w:val="22"/>
                      <w:szCs w:val="22"/>
                    </w:rPr>
                    <w:t xml:space="preserve">ул. Московская, ул. Азина, </w:t>
                    <w:br/>
                    <w:t xml:space="preserve">а/д М7 «Волга» (Завьяловский и Малопургинский районы), </w:t>
                    <w:br/>
                    <w:t xml:space="preserve">с. Малая Пурга ( ул. Трактовая, </w:t>
                    <w:br/>
                    <w:t xml:space="preserve">ул. Советская) </w:t>
                  </w:r>
                  <w:r>
                    <w:rPr>
                      <w:sz w:val="22"/>
                      <w:szCs w:val="22"/>
                    </w:rPr>
                  </w:r>
                  <w:r>
                    <w:rPr>
                      <w:sz w:val="22"/>
                      <w:szCs w:val="22"/>
                    </w:rPr>
                  </w:r>
                </w:p>
              </w:tc>
              <w:tc>
                <w:tcPr>
                  <w:tcW w:w="851" w:type="dxa"/>
                  <w:vMerge w:val="restart"/>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39,5</w:t>
                  </w:r>
                </w:p>
              </w:tc>
              <w:tc>
                <w:tcPr>
                  <w:tcW w:w="992" w:type="dxa"/>
                  <w:vMerge w:val="restart"/>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только в установленных остановочных пунктах</w:t>
                  </w:r>
                </w:p>
                <w:p>
                  <w:pPr>
                    <w:pStyle w:val="780"/>
                  </w:pPr>
                </w:p>
              </w:tc>
              <w:tc>
                <w:tcPr>
                  <w:tcW w:w="992" w:type="dxa"/>
                  <w:vMerge w:val="restart"/>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регулярные перевозки по нерегулируемым тарифам</w:t>
                  </w:r>
                </w:p>
                <w:p>
                  <w:pPr>
                    <w:pStyle w:val="780"/>
                  </w:pPr>
                </w:p>
                <w:p>
                  <w:pPr>
                    <w:pStyle w:val="780"/>
                  </w:pPr>
                </w:p>
              </w:tc>
              <w:tc>
                <w:tcPr>
                  <w:tcW w:w="1423" w:type="dxa"/>
                  <w:vMerge w:val="restart"/>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Ежедневно: 05:30; 05:40; 05:45; 06:15; 06:45; 07:15; 07:45; 08:15; 08:45; 09:15; 09:45; 10:45; 11:15; 11:45; 12:15; 12:45; 13:15; 13:45; 14:15; 15:15; 15:45; 16:15; 16:45; 17:15; 17:45; 18:15; 19:15; 19:45; 20:15; 21:15; 21:25; 21:35</w:t>
                  </w:r>
                </w:p>
              </w:tc>
              <w:tc>
                <w:tcPr>
                  <w:tcW w:w="1412" w:type="dxa"/>
                  <w:vMerge w:val="restart"/>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Ежедневно 05:00; 05:10; 05:14; 06:15; 06:45; 06:55; 07:00; 07:30; 08:30; 09:00; 09:30; 10:00; 10:30; 11:00; 11:30; 12:00; 12:30; 13:30; 14:00; 14:30; 15:00; 15:30; 16:00; 16:30; 17:00; 18:00; 18:30; 19:00; 20:00</w:t>
                  </w:r>
                </w:p>
              </w:tc>
              <w:tc>
                <w:tcPr>
                  <w:tcW w:w="1699" w:type="dxa"/>
                  <w:vMerge w:val="restart"/>
                  <w:tcBorders>
                    <w:top w:val="single" w:color="000000" w:sz="4" w:space="0"/>
                    <w:left w:val="single" w:color="000000" w:sz="4" w:space="0"/>
                    <w:bottom w:val="single" w:color="000000" w:sz="4" w:space="0"/>
                    <w:right w:val="single" w:color="000000" w:sz="4" w:space="0"/>
                  </w:tcBorders>
                  <w:noWrap w:val="false"/>
                  <w:textDirection w:val="lrTb"/>
                </w:tcPr>
                <w:p>
                  <w:pPr>
                    <w:pStyle w:val="780"/>
                  </w:pPr>
                  <w:r>
                    <w:t xml:space="preserve">10 ТС, малый класс и выше, не установлены</w:t>
                  </w:r>
                </w:p>
              </w:tc>
            </w:tr>
          </w:tbl>
          <w:p>
            <w:pPr>
              <w:pStyle w:val="780"/>
              <w:tabs>
                <w:tab w:val="clear" w:pos="708" w:leader="none"/>
                <w:tab w:val="left" w:pos="3686" w:leader="none"/>
              </w:tabs>
              <w:ind w:right="-27"/>
              <w:rPr>
                <w:sz w:val="28"/>
                <w:szCs w:val="28"/>
              </w:rPr>
            </w:pPr>
            <w:r>
              <w:rPr>
                <w:sz w:val="28"/>
                <w:szCs w:val="28"/>
              </w:rPr>
            </w:r>
            <w:r>
              <w:rPr>
                <w:sz w:val="28"/>
                <w:szCs w:val="28"/>
              </w:rPr>
            </w:r>
            <w:r>
              <w:rPr>
                <w:sz w:val="28"/>
                <w:szCs w:val="28"/>
              </w:rPr>
            </w:r>
          </w:p>
        </w:tc>
      </w:tr>
      <w:tr>
        <w:trPr/>
        <w:tblPrEx/>
        <w:tc>
          <w:tcPr>
            <w:tcW w:w="13713" w:type="dxa"/>
            <w:gridSpan w:val="2"/>
            <w:noWrap w:val="false"/>
            <w:textDirection w:val="lrTb"/>
          </w:tcPr>
          <w:p>
            <w:pPr>
              <w:pStyle w:val="780"/>
              <w:tabs>
                <w:tab w:val="clear" w:pos="708" w:leader="none"/>
                <w:tab w:val="left" w:pos="3686" w:leader="none"/>
              </w:tabs>
              <w:ind w:right="-27"/>
              <w:jc w:val="right"/>
              <w:rPr>
                <w:sz w:val="28"/>
                <w:szCs w:val="28"/>
              </w:rPr>
            </w:pPr>
            <w:r>
              <w:rPr>
                <w:sz w:val="28"/>
                <w:szCs w:val="28"/>
              </w:rPr>
            </w:r>
            <w:r>
              <w:rPr>
                <w:sz w:val="28"/>
                <w:szCs w:val="28"/>
              </w:rPr>
            </w:r>
            <w:r>
              <w:rPr>
                <w:sz w:val="28"/>
                <w:szCs w:val="28"/>
              </w:rPr>
            </w:r>
          </w:p>
        </w:tc>
      </w:tr>
    </w:tbl>
    <w:p>
      <w:pPr>
        <w:pStyle w:val="780"/>
        <w:ind w:firstLine="709"/>
        <w:jc w:val="both"/>
        <w:rPr>
          <w:sz w:val="28"/>
          <w:szCs w:val="28"/>
        </w:rPr>
      </w:pPr>
      <w:r>
        <w:rPr>
          <w:sz w:val="28"/>
          <w:szCs w:val="28"/>
        </w:rPr>
      </w:r>
      <w:r>
        <w:rPr>
          <w:sz w:val="28"/>
          <w:szCs w:val="28"/>
        </w:rPr>
      </w:r>
      <w:r>
        <w:rPr>
          <w:sz w:val="28"/>
          <w:szCs w:val="28"/>
        </w:rPr>
      </w:r>
    </w:p>
    <w:p>
      <w:pPr>
        <w:pStyle w:val="780"/>
        <w:ind w:firstLine="709"/>
        <w:jc w:val="both"/>
        <w:rPr>
          <w:sz w:val="28"/>
          <w:szCs w:val="28"/>
        </w:rPr>
      </w:pPr>
      <w:r>
        <w:rPr>
          <w:sz w:val="28"/>
          <w:szCs w:val="28"/>
        </w:rPr>
        <w:t xml:space="preserve">Примечание: </w:t>
      </w:r>
      <w:r>
        <w:rPr>
          <w:sz w:val="28"/>
          <w:szCs w:val="28"/>
        </w:rPr>
      </w:r>
      <w:r>
        <w:rPr>
          <w:sz w:val="28"/>
          <w:szCs w:val="28"/>
        </w:rPr>
      </w:r>
    </w:p>
    <w:p>
      <w:pPr>
        <w:pStyle w:val="780"/>
        <w:ind w:firstLine="709"/>
        <w:jc w:val="both"/>
        <w:rPr>
          <w:sz w:val="28"/>
          <w:szCs w:val="28"/>
          <w:highlight w:val="none"/>
        </w:rPr>
      </w:pPr>
      <w:r>
        <w:rPr>
          <w:sz w:val="28"/>
          <w:szCs w:val="28"/>
        </w:rPr>
        <w:t xml:space="preserve">1) АВ – автовокзал, АС – автостанция, КП – кассовый пункт</w:t>
      </w:r>
      <w:r>
        <w:rPr>
          <w:sz w:val="28"/>
          <w:szCs w:val="28"/>
          <w:highlight w:val="none"/>
        </w:rPr>
      </w:r>
      <w:r>
        <w:rPr>
          <w:sz w:val="28"/>
          <w:szCs w:val="28"/>
          <w:highlight w:val="none"/>
        </w:rPr>
      </w:r>
    </w:p>
    <w:p>
      <w:pPr>
        <w:pStyle w:val="780"/>
        <w:ind w:firstLine="709"/>
        <w:jc w:val="both"/>
        <w:rPr>
          <w:sz w:val="28"/>
          <w:szCs w:val="28"/>
        </w:rPr>
      </w:pPr>
      <w:r>
        <w:rPr>
          <w:sz w:val="28"/>
          <w:szCs w:val="28"/>
        </w:rPr>
        <w:t xml:space="preserve">Адреса автовокзалов, автостанций и кассовых пунктов указаны на официальном сайте ООО «Автовокзалы Удмуртии» - https://avudm.ru/stations; </w:t>
      </w:r>
      <w:r>
        <w:rPr>
          <w:sz w:val="28"/>
          <w:szCs w:val="28"/>
        </w:rPr>
      </w:r>
      <w:r>
        <w:rPr>
          <w:sz w:val="28"/>
          <w:szCs w:val="28"/>
        </w:rPr>
      </w:r>
    </w:p>
    <w:p>
      <w:pPr>
        <w:pStyle w:val="780"/>
        <w:ind w:firstLine="708"/>
        <w:jc w:val="both"/>
        <w:rPr>
          <w:sz w:val="28"/>
          <w:szCs w:val="28"/>
        </w:rPr>
      </w:pPr>
      <w:r>
        <w:rPr>
          <w:sz w:val="28"/>
          <w:szCs w:val="28"/>
        </w:rPr>
        <w:t xml:space="preserve">2) ежедн. – ежедневно, пн – понедельник, вт – вторник, ср – среда, чт – четверг, пт – пятница, сб – суббота, вс – воскресенье;</w:t>
      </w:r>
      <w:r>
        <w:rPr>
          <w:sz w:val="28"/>
          <w:szCs w:val="28"/>
        </w:rPr>
      </w:r>
      <w:r>
        <w:rPr>
          <w:sz w:val="28"/>
          <w:szCs w:val="28"/>
        </w:rPr>
      </w:r>
    </w:p>
    <w:p>
      <w:pPr>
        <w:pStyle w:val="780"/>
        <w:ind w:firstLine="708"/>
        <w:jc w:val="both"/>
        <w:rPr>
          <w:sz w:val="28"/>
          <w:szCs w:val="28"/>
        </w:rPr>
      </w:pPr>
      <w:r>
        <w:rPr>
          <w:sz w:val="28"/>
          <w:szCs w:val="28"/>
        </w:rPr>
        <w:t xml:space="preserve">3) Наименования</w:t>
      </w:r>
      <w:r>
        <w:rPr>
          <w:sz w:val="28"/>
          <w:szCs w:val="28"/>
        </w:rPr>
        <w:t xml:space="preserve"> промежуточных остановочных пунктов по маршруту регулярных перевозок либо наименования поселений или городских округов, в границах которых расположены промежуточные остановочные пункты; наименование улиц, автомобильных дорог, по которым предполагается движ</w:t>
      </w:r>
      <w:r>
        <w:rPr>
          <w:sz w:val="28"/>
          <w:szCs w:val="28"/>
        </w:rPr>
        <w:t xml:space="preserve">ение транспортных средств между остановочными пунктами по маршруту регулярных перевозок указаны в реестре межмуниципальных маршрутов регулярных перевозок в Удмуртской Республике - http://mindortrans.su/otrasli/otrtransport/avtomobilnyj/ reestry-marshrutov;</w:t>
      </w:r>
      <w:r>
        <w:rPr>
          <w:sz w:val="28"/>
          <w:szCs w:val="28"/>
        </w:rPr>
      </w:r>
      <w:r>
        <w:rPr>
          <w:sz w:val="28"/>
          <w:szCs w:val="28"/>
        </w:rPr>
      </w:r>
    </w:p>
    <w:p>
      <w:pPr>
        <w:pStyle w:val="780"/>
        <w:ind w:firstLine="708"/>
        <w:jc w:val="both"/>
        <w:rPr>
          <w:sz w:val="28"/>
          <w:szCs w:val="28"/>
          <w:highlight w:val="none"/>
        </w:rPr>
      </w:pPr>
      <w:r>
        <w:rPr>
          <w:sz w:val="28"/>
          <w:szCs w:val="28"/>
        </w:rPr>
        <w:t xml:space="preserve">4) На каждый маршрут необходимо предложить транспортные средства с характеристиками и в количестве, как указанно в соответствующем лоте.</w:t>
      </w:r>
      <w:r>
        <w:rPr>
          <w:sz w:val="28"/>
          <w:szCs w:val="28"/>
          <w:highlight w:val="none"/>
        </w:rPr>
      </w:r>
      <w:r>
        <w:rPr>
          <w:sz w:val="28"/>
          <w:szCs w:val="28"/>
          <w:highlight w:val="none"/>
        </w:rPr>
      </w:r>
    </w:p>
    <w:p>
      <w:pPr>
        <w:ind w:firstLine="708"/>
        <w:jc w:val="both"/>
        <w:rPr>
          <w:sz w:val="28"/>
          <w:szCs w:val="28"/>
        </w:rPr>
      </w:pPr>
      <w:r>
        <w:rPr>
          <w:sz w:val="28"/>
          <w:szCs w:val="28"/>
        </w:rPr>
      </w:r>
      <w:r>
        <w:rPr>
          <w:sz w:val="28"/>
          <w:szCs w:val="28"/>
        </w:rPr>
      </w:r>
      <w:r>
        <w:rPr>
          <w:sz w:val="28"/>
          <w:szCs w:val="28"/>
        </w:rPr>
      </w:r>
    </w:p>
    <w:p>
      <w:pPr>
        <w:ind w:firstLine="708"/>
        <w:jc w:val="right"/>
        <w:rPr>
          <w:sz w:val="28"/>
          <w:szCs w:val="28"/>
        </w:rPr>
      </w:pPr>
      <w:r>
        <w:rPr>
          <w:sz w:val="28"/>
          <w:szCs w:val="28"/>
          <w:highlight w:val="none"/>
        </w:rPr>
        <w:t xml:space="preserve">»</w:t>
      </w:r>
      <w:r>
        <w:rPr>
          <w:sz w:val="28"/>
          <w:szCs w:val="28"/>
        </w:rPr>
        <w:t xml:space="preserve">.</w:t>
      </w:r>
      <w:r>
        <w:rPr>
          <w:sz w:val="28"/>
          <w:szCs w:val="28"/>
        </w:rPr>
      </w:r>
    </w:p>
    <w:sectPr>
      <w:footnotePr/>
      <w:endnotePr/>
      <w:type w:val="nextPage"/>
      <w:pgSz w:w="16838" w:h="11906" w:orient="landscape"/>
      <w:pgMar w:top="1134" w:right="357" w:bottom="851" w:left="567" w:header="0" w:footer="0" w:gutter="0"/>
      <w:cols w:num="1" w:sep="0" w:space="1701"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ookman Old Style">
    <w:panose1 w:val="02060603050605020204"/>
  </w:font>
  <w:font w:name="Calibri">
    <w:panose1 w:val="020F0502020204030204"/>
  </w:font>
  <w:font w:name="Open Sans">
    <w:panose1 w:val="020B0606030504020204"/>
  </w:font>
  <w:font w:name="Tahoma">
    <w:panose1 w:val="020B0606030504020204"/>
  </w:font>
  <w:font w:name="PT Astra Serif">
    <w:panose1 w:val="020A0603040505020204"/>
  </w:font>
  <w:font w:name="Franklin Gothic Medium">
    <w:panose1 w:val="020B0603020203020204"/>
  </w:font>
  <w:font w:name="Arial">
    <w:panose1 w:val="020B0604020202020204"/>
  </w:font>
  <w:font w:name="Courier New">
    <w:panose1 w:val="02070409020205020404"/>
  </w:font>
  <w:font w:name="Lohit Devanagari">
    <w:panose1 w:val="020B0600000000000000"/>
  </w:font>
  <w:font w:name="Droid Sans Fallback">
    <w:panose1 w:val="020B0502000000000001"/>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Droid Sans Fallback" w:cs="Lohit Devanagari"/>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654">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55">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56">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57">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58">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59">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60">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tcBorders>
          <w:right w:val="single" w:color="404040" w:sz="4" w:space="0"/>
        </w:tcBorders>
        <w:shd w:val="clear" w:color="ffffff"/>
      </w:tcPr>
    </w:tblStylePr>
    <w:tblStylePr w:type="firstRow">
      <w:rPr>
        <w:i/>
        <w:color w:val="404040"/>
      </w:rPr>
      <w:tcPr>
        <w:tcBorders>
          <w:left w:val="none" w:color="000000" w:sz="4" w:space="0"/>
          <w:bottom w:val="single" w:color="404040" w:sz="4" w:space="0"/>
          <w:right w:val="none" w:color="000000" w:sz="4" w:space="0"/>
        </w:tcBorders>
        <w:shd w:val="clear" w:color="ffffff"/>
      </w:tcPr>
    </w:tblStylePr>
    <w:tblStylePr w:type="lastCol">
      <w:rPr>
        <w:i/>
        <w:color w:val="404040"/>
      </w:rPr>
      <w:tcPr>
        <w:tcBorders>
          <w:left w:val="single" w:color="404040" w:sz="4" w:space="0"/>
        </w:tcBorders>
        <w:shd w:val="clear" w:color="ffffff"/>
      </w:tcPr>
    </w:tblStylePr>
    <w:tblStylePr w:type="lastRow">
      <w:rPr>
        <w:i/>
        <w:color w:val="404040"/>
      </w:rPr>
      <w:tcPr>
        <w:tcBorders>
          <w:top w:val="single" w:color="404040" w:sz="4" w:space="0"/>
          <w:left w:val="none" w:color="000000" w:sz="4" w:space="0"/>
          <w:right w:val="none" w:color="000000" w:sz="4" w:space="0"/>
        </w:tcBorders>
        <w:shd w:val="clear" w:color="ffffff"/>
      </w:tcPr>
    </w:tblStylePr>
  </w:style>
  <w:style w:type="table" w:styleId="661">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62">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63">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664">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65">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66">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67">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68">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themeTint="95"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text1" w:themeTint="95" w:sz="4" w:space="0"/>
          <w:left w:val="none" w:color="000000" w:sz="4" w:space="0"/>
          <w:bottom w:val="none" w:color="000000" w:sz="4" w:space="0"/>
          <w:right w:val="none" w:color="000000" w:sz="4" w:space="0"/>
        </w:tcBorders>
        <w:shd w:val="clear" w:color="ffffff"/>
      </w:tcPr>
    </w:tblStylePr>
  </w:style>
  <w:style w:type="table" w:styleId="669">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themeTint="EA"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1" w:themeTint="EA" w:sz="4" w:space="0"/>
          <w:left w:val="none" w:color="000000" w:sz="4" w:space="0"/>
          <w:bottom w:val="none" w:color="000000" w:sz="4" w:space="0"/>
          <w:right w:val="none" w:color="000000" w:sz="4" w:space="0"/>
        </w:tcBorders>
        <w:shd w:val="clear" w:color="ffffff"/>
      </w:tcPr>
    </w:tblStylePr>
  </w:style>
  <w:style w:type="table" w:styleId="670">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themeTint="97"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2" w:themeTint="97" w:sz="4" w:space="0"/>
          <w:left w:val="none" w:color="000000" w:sz="4" w:space="0"/>
          <w:bottom w:val="none" w:color="000000" w:sz="4" w:space="0"/>
          <w:right w:val="none" w:color="000000" w:sz="4" w:space="0"/>
        </w:tcBorders>
        <w:shd w:val="clear" w:color="ffffff"/>
      </w:tcPr>
    </w:tblStylePr>
  </w:style>
  <w:style w:type="table" w:styleId="671">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themeTint="FE"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3" w:themeTint="FE" w:sz="4" w:space="0"/>
          <w:left w:val="none" w:color="000000" w:sz="4" w:space="0"/>
          <w:bottom w:val="none" w:color="000000" w:sz="4" w:space="0"/>
          <w:right w:val="none" w:color="000000" w:sz="4" w:space="0"/>
        </w:tcBorders>
        <w:shd w:val="clear" w:color="ffffff"/>
      </w:tcPr>
    </w:tblStylePr>
  </w:style>
  <w:style w:type="table" w:styleId="672">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themeTint="9A"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4" w:themeTint="9A" w:sz="4" w:space="0"/>
          <w:left w:val="none" w:color="000000" w:sz="4" w:space="0"/>
          <w:bottom w:val="none" w:color="000000" w:sz="4" w:space="0"/>
          <w:right w:val="none" w:color="000000" w:sz="4" w:space="0"/>
        </w:tcBorders>
        <w:shd w:val="clear" w:color="ffffff"/>
      </w:tcPr>
    </w:tblStylePr>
  </w:style>
  <w:style w:type="table" w:styleId="673">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shd w:val="clear" w:color="ffffff"/>
      </w:tcPr>
    </w:tblStylePr>
  </w:style>
  <w:style w:type="table" w:styleId="674">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shd w:val="clear" w:color="ffffff"/>
      </w:tcPr>
    </w:tblStylePr>
  </w:style>
  <w:style w:type="table" w:styleId="675">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676">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677">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678">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679">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680">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681">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tcPr>
    </w:tblStylePr>
  </w:style>
  <w:style w:type="table" w:styleId="682">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themeColor="text1" w:fill="000000" w:themeFill="text1"/>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683">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shd w:val="clear" w:color="ffffff" w:themeColor="accent1" w:themeTint="EA" w:fill="5d8dc2" w:themeFill="accent1" w:themeFillTint="EA"/>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684">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shd w:val="clear" w:color="ffffff" w:themeColor="accent2" w:themeTint="97" w:fill="d99694" w:themeFill="accent2" w:themeFillTint="97"/>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685">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shd w:val="clear" w:color="ffffff" w:themeColor="accent3" w:themeTint="FE" w:fill="9bba59" w:themeFill="accent3" w:themeFillTint="FE"/>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686">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shd w:val="clear" w:color="ffffff" w:themeColor="accent4" w:themeTint="9A" w:fill="b2a1c6" w:themeFill="accent4" w:themeFillTint="9A"/>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687">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themeColor="accent5" w:fill="4bacc6" w:themeFill="accent5"/>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688">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themeColor="accent6" w:fill="f79646" w:themeFill="accent6"/>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689">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tcBorders>
          <w:top w:val="single" w:color="000000" w:themeColor="light1" w:sz="4" w:space="0"/>
        </w:tcBorders>
        <w:shd w:val="clear" w:color="ffffff" w:themeColor="text1" w:fill="000000" w:themeFill="text1"/>
      </w:tcPr>
    </w:tblStylePr>
  </w:style>
  <w:style w:type="table" w:styleId="690">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tcBorders>
          <w:top w:val="single" w:color="000000" w:themeColor="light1" w:sz="4" w:space="0"/>
        </w:tcBorders>
        <w:shd w:val="clear" w:color="ffffff" w:themeColor="accent1" w:fill="4f81bd" w:themeFill="accent1"/>
      </w:tcPr>
    </w:tblStylePr>
  </w:style>
  <w:style w:type="table" w:styleId="691">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tcBorders>
          <w:top w:val="single" w:color="000000" w:themeColor="light1" w:sz="4" w:space="0"/>
        </w:tcBorders>
        <w:shd w:val="clear" w:color="ffffff" w:themeColor="accent2" w:fill="c0504d" w:themeFill="accent2"/>
      </w:tcPr>
    </w:tblStylePr>
  </w:style>
  <w:style w:type="table" w:styleId="692">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tcBorders>
          <w:top w:val="single" w:color="000000" w:themeColor="light1" w:sz="4" w:space="0"/>
        </w:tcBorders>
        <w:shd w:val="clear" w:color="ffffff" w:themeColor="accent3" w:fill="9bbb59" w:themeFill="accent3"/>
      </w:tcPr>
    </w:tblStylePr>
  </w:style>
  <w:style w:type="table" w:styleId="693">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tcBorders>
          <w:top w:val="single" w:color="000000" w:themeColor="light1" w:sz="4" w:space="0"/>
        </w:tcBorders>
        <w:shd w:val="clear" w:color="ffffff" w:themeColor="accent4" w:fill="8064a2" w:themeFill="accent4"/>
      </w:tcPr>
    </w:tblStylePr>
  </w:style>
  <w:style w:type="table" w:styleId="694">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tcBorders>
          <w:top w:val="single" w:color="000000" w:themeColor="light1" w:sz="4" w:space="0"/>
        </w:tcBorders>
        <w:shd w:val="clear" w:color="ffffff" w:themeColor="accent5" w:fill="4bacc6" w:themeFill="accent5"/>
      </w:tcPr>
    </w:tblStylePr>
  </w:style>
  <w:style w:type="table" w:styleId="695">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tcBorders>
          <w:top w:val="single" w:color="000000" w:themeColor="light1" w:sz="4" w:space="0"/>
        </w:tcBorders>
        <w:shd w:val="clear" w:color="ffffff" w:themeColor="accent6" w:fill="f79646" w:themeFill="accent6"/>
      </w:tcPr>
    </w:tblStylePr>
  </w:style>
  <w:style w:type="table" w:styleId="696">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697">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698">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699">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00">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01">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02">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03">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tcBorders>
          <w:top w:val="none" w:color="000000" w:sz="4" w:space="0"/>
          <w:left w:val="none" w:color="000000" w:sz="4" w:space="0"/>
          <w:bottom w:val="none" w:color="000000" w:sz="4" w:space="0"/>
          <w:right w:val="single" w:color="000000" w:themeColor="text1" w:themeTint="80" w:sz="4" w:space="0"/>
        </w:tcBorders>
        <w:shd w:val="clear" w:color="ffffff"/>
      </w:tcPr>
    </w:tblStylePr>
    <w:tblStylePr w:type="firstRow">
      <w:rPr>
        <w:rFonts w:ascii="Arial" w:hAnsi="Arial"/>
        <w:b/>
        <w:color w:val="4a4a4a" w:themeColor="text1" w:themeTint="80" w:themeShade="95"/>
        <w:sz w:val="22"/>
      </w:rPr>
      <w:tcPr>
        <w:tcBorders>
          <w:top w:val="none" w:color="000000" w:sz="4" w:space="0"/>
          <w:left w:val="none" w:color="000000" w:sz="4" w:space="0"/>
          <w:bottom w:val="single" w:color="000000" w:themeColor="text1" w:themeTint="80" w:sz="4" w:space="0"/>
          <w:right w:val="none" w:color="000000" w:sz="4" w:space="0"/>
        </w:tcBorders>
        <w:shd w:val="clear" w:color="ffffff" w:themeColor="light1" w:fill="ffffff" w:themeFill="light1"/>
      </w:tcPr>
    </w:tblStylePr>
    <w:tblStylePr w:type="lastCol">
      <w:rPr>
        <w:rFonts w:ascii="Arial" w:hAnsi="Arial"/>
        <w:i/>
        <w:color w:val="4a4a4a" w:themeColor="text1" w:themeTint="80" w:themeShade="95"/>
        <w:sz w:val="22"/>
      </w:rPr>
      <w:tcPr>
        <w:tcBorders>
          <w:top w:val="none" w:color="000000" w:sz="4" w:space="0"/>
          <w:left w:val="single" w:color="000000" w:themeColor="text1" w:themeTint="80" w:sz="4" w:space="0"/>
          <w:bottom w:val="none" w:color="000000" w:sz="4" w:space="0"/>
          <w:right w:val="none" w:color="000000" w:sz="4" w:space="0"/>
        </w:tcBorders>
        <w:shd w:val="clear" w:color="ffffff"/>
      </w:tcPr>
    </w:tblStylePr>
    <w:tblStylePr w:type="lastRow">
      <w:rPr>
        <w:rFonts w:ascii="Arial" w:hAnsi="Arial"/>
        <w:b/>
        <w:color w:val="4a4a4a" w:themeColor="text1" w:themeTint="80" w:themeShade="95"/>
        <w:sz w:val="22"/>
      </w:rPr>
      <w:tcPr>
        <w:tcBorders>
          <w:top w:val="single" w:color="000000" w:themeColor="text1" w:themeTint="80" w:sz="4" w:space="0"/>
          <w:left w:val="none" w:color="000000" w:sz="4" w:space="0"/>
          <w:bottom w:val="none" w:color="000000" w:sz="4" w:space="0"/>
          <w:right w:val="none" w:color="000000" w:sz="4" w:space="0"/>
        </w:tcBorders>
        <w:shd w:val="clear" w:color="ffffff" w:themeColor="light1" w:fill="ffffff" w:themeFill="light1"/>
      </w:tcPr>
    </w:tblStylePr>
  </w:style>
  <w:style w:type="table" w:styleId="704">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tcBorders>
          <w:top w:val="none" w:color="000000" w:sz="4" w:space="0"/>
          <w:left w:val="none" w:color="000000" w:sz="4" w:space="0"/>
          <w:bottom w:val="none" w:color="000000" w:sz="4" w:space="0"/>
          <w:right w:val="single" w:color="000000" w:themeColor="accent1" w:themeTint="80" w:sz="4" w:space="0"/>
        </w:tcBorders>
        <w:shd w:val="clear" w:color="ffffff"/>
      </w:tcPr>
    </w:tblStylePr>
    <w:tblStylePr w:type="firstRow">
      <w:rPr>
        <w:rFonts w:ascii="Arial" w:hAnsi="Arial"/>
        <w:b/>
        <w:color w:val="3e70a3" w:themeColor="accent1" w:themeTint="80" w:themeShade="95"/>
        <w:sz w:val="22"/>
      </w:rPr>
      <w:tcPr>
        <w:tcBorders>
          <w:top w:val="none" w:color="000000" w:sz="4" w:space="0"/>
          <w:left w:val="none" w:color="000000" w:sz="4" w:space="0"/>
          <w:bottom w:val="single" w:color="000000" w:themeColor="accent1" w:themeTint="80" w:sz="4" w:space="0"/>
          <w:right w:val="none" w:color="000000" w:sz="4" w:space="0"/>
        </w:tcBorders>
        <w:shd w:val="clear" w:color="ffffff" w:themeColor="light1" w:fill="ffffff" w:themeFill="light1"/>
      </w:tcPr>
    </w:tblStylePr>
    <w:tblStylePr w:type="lastCol">
      <w:rPr>
        <w:rFonts w:ascii="Arial" w:hAnsi="Arial"/>
        <w:i/>
        <w:color w:val="3e70a3" w:themeColor="accent1" w:themeTint="80" w:themeShade="95"/>
        <w:sz w:val="22"/>
      </w:rPr>
      <w:tcPr>
        <w:tcBorders>
          <w:top w:val="none" w:color="000000" w:sz="4" w:space="0"/>
          <w:left w:val="single" w:color="000000" w:themeColor="accent1" w:themeTint="80" w:sz="4" w:space="0"/>
          <w:bottom w:val="none" w:color="000000" w:sz="4" w:space="0"/>
          <w:right w:val="none" w:color="000000" w:sz="4" w:space="0"/>
        </w:tcBorders>
        <w:shd w:val="clear" w:color="ffffff"/>
      </w:tcPr>
    </w:tblStylePr>
    <w:tblStylePr w:type="lastRow">
      <w:rPr>
        <w:rFonts w:ascii="Arial" w:hAnsi="Arial"/>
        <w:b/>
        <w:color w:val="3e70a3" w:themeColor="accent1" w:themeTint="80" w:themeShade="95"/>
        <w:sz w:val="22"/>
      </w:rPr>
      <w:tcPr>
        <w:tcBorders>
          <w:top w:val="single" w:color="000000" w:themeColor="accent1" w:themeTint="80" w:sz="4" w:space="0"/>
          <w:left w:val="none" w:color="000000" w:sz="4" w:space="0"/>
          <w:bottom w:val="none" w:color="000000" w:sz="4" w:space="0"/>
          <w:right w:val="none" w:color="000000" w:sz="4" w:space="0"/>
        </w:tcBorders>
        <w:shd w:val="clear" w:color="ffffff" w:themeColor="light1" w:fill="ffffff" w:themeFill="light1"/>
      </w:tcPr>
    </w:tblStylePr>
  </w:style>
  <w:style w:type="table" w:styleId="705">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tcBorders>
          <w:top w:val="none" w:color="000000" w:sz="4" w:space="0"/>
          <w:left w:val="none" w:color="000000" w:sz="4" w:space="0"/>
          <w:bottom w:val="none" w:color="000000" w:sz="4" w:space="0"/>
          <w:right w:val="single" w:color="000000" w:themeColor="accent2" w:themeTint="97" w:sz="4" w:space="0"/>
        </w:tcBorders>
        <w:shd w:val="clear" w:color="ffffff"/>
      </w:tcPr>
    </w:tblStylePr>
    <w:tblStylePr w:type="firstRow">
      <w:rPr>
        <w:rFonts w:ascii="Arial" w:hAnsi="Arial"/>
        <w:b/>
        <w:color w:val="9c3a37" w:themeColor="accent2" w:themeTint="97" w:themeShade="95"/>
        <w:sz w:val="22"/>
      </w:rPr>
      <w:tcPr>
        <w:tcBorders>
          <w:top w:val="none" w:color="000000" w:sz="4" w:space="0"/>
          <w:left w:val="none" w:color="000000" w:sz="4" w:space="0"/>
          <w:bottom w:val="single" w:color="000000" w:themeColor="accent2" w:themeTint="97" w:sz="4" w:space="0"/>
          <w:right w:val="none" w:color="000000" w:sz="4" w:space="0"/>
        </w:tcBorders>
        <w:shd w:val="clear" w:color="ffffff" w:themeColor="light1" w:fill="ffffff" w:themeFill="light1"/>
      </w:tcPr>
    </w:tblStylePr>
    <w:tblStylePr w:type="lastCol">
      <w:rPr>
        <w:rFonts w:ascii="Arial" w:hAnsi="Arial"/>
        <w:i/>
        <w:color w:val="9c3a37" w:themeColor="accent2" w:themeTint="97" w:themeShade="95"/>
        <w:sz w:val="22"/>
      </w:rPr>
      <w:tcPr>
        <w:tcBorders>
          <w:top w:val="none" w:color="000000" w:sz="4" w:space="0"/>
          <w:left w:val="single" w:color="000000" w:themeColor="accent2" w:themeTint="97" w:sz="4" w:space="0"/>
          <w:bottom w:val="none" w:color="000000" w:sz="4" w:space="0"/>
          <w:right w:val="none" w:color="000000" w:sz="4" w:space="0"/>
        </w:tcBorders>
        <w:shd w:val="clear" w:color="ffffff"/>
      </w:tcPr>
    </w:tblStylePr>
    <w:tblStylePr w:type="lastRow">
      <w:rPr>
        <w:rFonts w:ascii="Arial" w:hAnsi="Arial"/>
        <w:b/>
        <w:color w:val="9c3a37" w:themeColor="accent2" w:themeTint="97" w:themeShade="95"/>
        <w:sz w:val="22"/>
      </w:rPr>
      <w:tcPr>
        <w:tcBorders>
          <w:top w:val="single" w:color="000000" w:themeColor="accent2" w:themeTint="97" w:sz="4" w:space="0"/>
          <w:left w:val="none" w:color="000000" w:sz="4" w:space="0"/>
          <w:bottom w:val="none" w:color="000000" w:sz="4" w:space="0"/>
          <w:right w:val="none" w:color="000000" w:sz="4" w:space="0"/>
        </w:tcBorders>
        <w:shd w:val="clear" w:color="ffffff" w:themeColor="light1" w:fill="ffffff" w:themeFill="light1"/>
      </w:tcPr>
    </w:tblStylePr>
  </w:style>
  <w:style w:type="table" w:styleId="706">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tcBorders>
          <w:top w:val="none" w:color="000000" w:sz="4" w:space="0"/>
          <w:left w:val="none" w:color="000000" w:sz="4" w:space="0"/>
          <w:bottom w:val="none" w:color="000000" w:sz="4" w:space="0"/>
          <w:right w:val="single" w:color="000000" w:themeColor="accent3" w:themeTint="FE" w:sz="4" w:space="0"/>
        </w:tcBorders>
        <w:shd w:val="clear" w:color="ffffff"/>
      </w:tcPr>
    </w:tblStylePr>
    <w:tblStylePr w:type="firstRow">
      <w:rPr>
        <w:rFonts w:ascii="Arial" w:hAnsi="Arial"/>
        <w:b/>
        <w:color w:val="5c702f" w:themeColor="accent3" w:themeTint="FE" w:themeShade="95"/>
        <w:sz w:val="22"/>
      </w:rPr>
      <w:tcPr>
        <w:tcBorders>
          <w:top w:val="none" w:color="000000" w:sz="4" w:space="0"/>
          <w:left w:val="none" w:color="000000" w:sz="4" w:space="0"/>
          <w:bottom w:val="single" w:color="000000" w:themeColor="accent3" w:themeTint="FE" w:sz="4" w:space="0"/>
          <w:right w:val="none" w:color="000000" w:sz="4" w:space="0"/>
        </w:tcBorders>
        <w:shd w:val="clear" w:color="ffffff" w:themeColor="light1" w:fill="ffffff" w:themeFill="light1"/>
      </w:tcPr>
    </w:tblStylePr>
    <w:tblStylePr w:type="lastCol">
      <w:rPr>
        <w:rFonts w:ascii="Arial" w:hAnsi="Arial"/>
        <w:i/>
        <w:color w:val="5c702f" w:themeColor="accent3" w:themeTint="FE" w:themeShade="95"/>
        <w:sz w:val="22"/>
      </w:rPr>
      <w:tcPr>
        <w:tcBorders>
          <w:top w:val="none" w:color="000000" w:sz="4" w:space="0"/>
          <w:left w:val="single" w:color="000000" w:themeColor="accent3" w:themeTint="FE" w:sz="4" w:space="0"/>
          <w:bottom w:val="none" w:color="000000" w:sz="4" w:space="0"/>
          <w:right w:val="none" w:color="000000" w:sz="4" w:space="0"/>
        </w:tcBorders>
        <w:shd w:val="clear" w:color="ffffff"/>
      </w:tcPr>
    </w:tblStylePr>
    <w:tblStylePr w:type="lastRow">
      <w:rPr>
        <w:rFonts w:ascii="Arial" w:hAnsi="Arial"/>
        <w:b/>
        <w:color w:val="5c702f" w:themeColor="accent3" w:themeTint="FE" w:themeShade="95"/>
        <w:sz w:val="22"/>
      </w:rPr>
      <w:tcPr>
        <w:tcBorders>
          <w:top w:val="single" w:color="000000" w:themeColor="accent3" w:themeTint="FE" w:sz="4" w:space="0"/>
          <w:left w:val="none" w:color="000000" w:sz="4" w:space="0"/>
          <w:bottom w:val="none" w:color="000000" w:sz="4" w:space="0"/>
          <w:right w:val="none" w:color="000000" w:sz="4" w:space="0"/>
        </w:tcBorders>
        <w:shd w:val="clear" w:color="ffffff" w:themeColor="light1" w:fill="ffffff" w:themeFill="light1"/>
      </w:tcPr>
    </w:tblStylePr>
  </w:style>
  <w:style w:type="table" w:styleId="707">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tcBorders>
          <w:top w:val="none" w:color="000000" w:sz="4" w:space="0"/>
          <w:left w:val="none" w:color="000000" w:sz="4" w:space="0"/>
          <w:bottom w:val="none" w:color="000000" w:sz="4" w:space="0"/>
          <w:right w:val="single" w:color="000000" w:themeColor="accent4" w:themeTint="9A" w:sz="4" w:space="0"/>
        </w:tcBorders>
        <w:shd w:val="clear" w:color="ffffff"/>
      </w:tcPr>
    </w:tblStylePr>
    <w:tblStylePr w:type="firstRow">
      <w:rPr>
        <w:rFonts w:ascii="Arial" w:hAnsi="Arial"/>
        <w:b/>
        <w:color w:val="664f82" w:themeColor="accent4" w:themeTint="9A" w:themeShade="95"/>
        <w:sz w:val="22"/>
      </w:rPr>
      <w:tcPr>
        <w:tcBorders>
          <w:top w:val="none" w:color="000000" w:sz="4" w:space="0"/>
          <w:left w:val="none" w:color="000000" w:sz="4" w:space="0"/>
          <w:bottom w:val="single" w:color="000000" w:themeColor="accent4" w:themeTint="9A" w:sz="4" w:space="0"/>
          <w:right w:val="none" w:color="000000" w:sz="4" w:space="0"/>
        </w:tcBorders>
        <w:shd w:val="clear" w:color="ffffff" w:themeColor="light1" w:fill="ffffff" w:themeFill="light1"/>
      </w:tcPr>
    </w:tblStylePr>
    <w:tblStylePr w:type="lastCol">
      <w:rPr>
        <w:rFonts w:ascii="Arial" w:hAnsi="Arial"/>
        <w:i/>
        <w:color w:val="664f82" w:themeColor="accent4" w:themeTint="9A" w:themeShade="95"/>
        <w:sz w:val="22"/>
      </w:rPr>
      <w:tcPr>
        <w:tcBorders>
          <w:top w:val="none" w:color="000000" w:sz="4" w:space="0"/>
          <w:left w:val="single" w:color="000000" w:themeColor="accent4" w:themeTint="9A" w:sz="4" w:space="0"/>
          <w:bottom w:val="none" w:color="000000" w:sz="4" w:space="0"/>
          <w:right w:val="none" w:color="000000" w:sz="4" w:space="0"/>
        </w:tcBorders>
        <w:shd w:val="clear" w:color="ffffff"/>
      </w:tcPr>
    </w:tblStylePr>
    <w:tblStylePr w:type="lastRow">
      <w:rPr>
        <w:rFonts w:ascii="Arial" w:hAnsi="Arial"/>
        <w:b/>
        <w:color w:val="664f82" w:themeColor="accent4" w:themeTint="9A" w:themeShade="95"/>
        <w:sz w:val="22"/>
      </w:rPr>
      <w:tcPr>
        <w:tcBorders>
          <w:top w:val="single" w:color="000000" w:themeColor="accent4" w:themeTint="9A" w:sz="4" w:space="0"/>
          <w:left w:val="none" w:color="000000" w:sz="4" w:space="0"/>
          <w:bottom w:val="none" w:color="000000" w:sz="4" w:space="0"/>
          <w:right w:val="none" w:color="000000" w:sz="4" w:space="0"/>
        </w:tcBorders>
        <w:shd w:val="clear" w:color="ffffff" w:themeColor="light1" w:fill="ffffff" w:themeFill="light1"/>
      </w:tcPr>
    </w:tblStylePr>
  </w:style>
  <w:style w:type="table" w:styleId="708">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tcBorders>
          <w:top w:val="none" w:color="000000" w:sz="4" w:space="0"/>
          <w:left w:val="none" w:color="000000" w:sz="4" w:space="0"/>
          <w:bottom w:val="none" w:color="000000" w:sz="4" w:space="0"/>
          <w:right w:val="single" w:color="000000" w:themeColor="accent5" w:themeTint="90" w:sz="4" w:space="0"/>
        </w:tcBorders>
        <w:shd w:val="clear" w:color="ffffff"/>
      </w:tcPr>
    </w:tblStylePr>
    <w:tblStylePr w:type="firstRow">
      <w:rPr>
        <w:rFonts w:ascii="Arial" w:hAnsi="Arial"/>
        <w:b/>
        <w:color w:val="266777" w:themeColor="accent5" w:themeShade="95"/>
        <w:sz w:val="22"/>
      </w:rPr>
      <w:tcPr>
        <w:tcBorders>
          <w:top w:val="none" w:color="000000" w:sz="4" w:space="0"/>
          <w:left w:val="none" w:color="000000" w:sz="4" w:space="0"/>
          <w:bottom w:val="single" w:color="000000" w:themeColor="accent5" w:themeTint="90" w:sz="4" w:space="0"/>
          <w:right w:val="none" w:color="000000" w:sz="4" w:space="0"/>
        </w:tcBorders>
        <w:shd w:val="clear" w:color="ffffff" w:themeColor="light1" w:fill="ffffff" w:themeFill="light1"/>
      </w:tcPr>
    </w:tblStylePr>
    <w:tblStylePr w:type="lastCol">
      <w:rPr>
        <w:rFonts w:ascii="Arial" w:hAnsi="Arial"/>
        <w:i/>
        <w:color w:val="266777" w:themeColor="accent5" w:themeShade="95"/>
        <w:sz w:val="22"/>
      </w:rPr>
      <w:tcPr>
        <w:tcBorders>
          <w:top w:val="none" w:color="000000" w:sz="4" w:space="0"/>
          <w:left w:val="single" w:color="000000" w:themeColor="accent5" w:themeTint="90" w:sz="4" w:space="0"/>
          <w:bottom w:val="none" w:color="000000" w:sz="4" w:space="0"/>
          <w:right w:val="none" w:color="000000" w:sz="4" w:space="0"/>
        </w:tcBorders>
        <w:shd w:val="clear" w:color="ffffff"/>
      </w:tcPr>
    </w:tblStylePr>
    <w:tblStylePr w:type="lastRow">
      <w:rPr>
        <w:rFonts w:ascii="Arial" w:hAnsi="Arial"/>
        <w:b/>
        <w:color w:val="266777" w:themeColor="accent5" w:themeShade="95"/>
        <w:sz w:val="22"/>
      </w:rPr>
      <w:tcPr>
        <w:tcBorders>
          <w:top w:val="single" w:color="000000" w:themeColor="accent5" w:themeTint="90" w:sz="4" w:space="0"/>
          <w:left w:val="none" w:color="000000" w:sz="4" w:space="0"/>
          <w:bottom w:val="none" w:color="000000" w:sz="4" w:space="0"/>
          <w:right w:val="none" w:color="000000" w:sz="4" w:space="0"/>
        </w:tcBorders>
        <w:shd w:val="clear" w:color="ffffff" w:themeColor="light1" w:fill="ffffff" w:themeFill="light1"/>
      </w:tcPr>
    </w:tblStylePr>
  </w:style>
  <w:style w:type="table" w:styleId="709">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tcBorders>
          <w:top w:val="none" w:color="000000" w:sz="4" w:space="0"/>
          <w:left w:val="none" w:color="000000" w:sz="4" w:space="0"/>
          <w:bottom w:val="none" w:color="000000" w:sz="4" w:space="0"/>
          <w:right w:val="single" w:color="000000" w:themeColor="accent6" w:themeTint="90" w:sz="4" w:space="0"/>
        </w:tcBorders>
        <w:shd w:val="clear" w:color="ffffff"/>
      </w:tcPr>
    </w:tblStylePr>
    <w:tblStylePr w:type="firstRow">
      <w:rPr>
        <w:rFonts w:ascii="Arial" w:hAnsi="Arial"/>
        <w:b/>
        <w:color w:val="b05307" w:themeColor="accent6" w:themeShade="95"/>
        <w:sz w:val="22"/>
      </w:rPr>
      <w:tcPr>
        <w:tcBorders>
          <w:top w:val="none" w:color="000000" w:sz="4" w:space="0"/>
          <w:left w:val="none" w:color="000000" w:sz="4" w:space="0"/>
          <w:bottom w:val="single" w:color="000000" w:themeColor="accent6" w:themeTint="90" w:sz="4" w:space="0"/>
          <w:right w:val="none" w:color="000000" w:sz="4" w:space="0"/>
        </w:tcBorders>
        <w:shd w:val="clear" w:color="ffffff" w:themeColor="light1" w:fill="ffffff" w:themeFill="light1"/>
      </w:tcPr>
    </w:tblStylePr>
    <w:tblStylePr w:type="lastCol">
      <w:rPr>
        <w:rFonts w:ascii="Arial" w:hAnsi="Arial"/>
        <w:i/>
        <w:color w:val="b05307" w:themeColor="accent6" w:themeShade="95"/>
        <w:sz w:val="22"/>
      </w:rPr>
      <w:tcPr>
        <w:tcBorders>
          <w:top w:val="none" w:color="000000" w:sz="4" w:space="0"/>
          <w:left w:val="single" w:color="000000" w:themeColor="accent6" w:themeTint="90" w:sz="4" w:space="0"/>
          <w:bottom w:val="none" w:color="000000" w:sz="4" w:space="0"/>
          <w:right w:val="none" w:color="000000" w:sz="4" w:space="0"/>
        </w:tcBorders>
        <w:shd w:val="clear" w:color="ffffff"/>
      </w:tcPr>
    </w:tblStylePr>
    <w:tblStylePr w:type="lastRow">
      <w:rPr>
        <w:rFonts w:ascii="Arial" w:hAnsi="Arial"/>
        <w:b/>
        <w:color w:val="b05307" w:themeColor="accent6" w:themeShade="95"/>
        <w:sz w:val="22"/>
      </w:rPr>
      <w:tcPr>
        <w:tcBorders>
          <w:top w:val="single" w:color="000000" w:themeColor="accent6" w:themeTint="90" w:sz="4" w:space="0"/>
          <w:left w:val="none" w:color="000000" w:sz="4" w:space="0"/>
          <w:bottom w:val="none" w:color="000000" w:sz="4" w:space="0"/>
          <w:right w:val="none" w:color="000000" w:sz="4" w:space="0"/>
        </w:tcBorders>
        <w:shd w:val="clear" w:color="ffffff" w:themeColor="light1" w:fill="ffffff" w:themeFill="light1"/>
      </w:tcPr>
    </w:tblStylePr>
  </w:style>
  <w:style w:type="table" w:styleId="710">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11">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12">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13">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14">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15">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16">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17">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18">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19">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20">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21">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22">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23">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24">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25">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26">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27">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28">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29">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30">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31">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32">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33">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734">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735">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736">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737">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738">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1Vert">
      <w:tcPr>
        <w:tcBorders>
          <w:left w:val="single" w:color="000000" w:themeColor="light1" w:sz="4" w:space="0"/>
          <w:right w:val="single" w:color="000000" w:themeColor="light1" w:sz="4" w:space="0"/>
        </w:tcBorders>
        <w:shd w:val="clear" w:color="ffffff" w:themeColor="text1" w:themeTint="80" w:fill="7f7f7f" w:themeFill="text1" w:themeFillTint="80"/>
      </w:tcPr>
    </w:tblStylePr>
    <w:tblStylePr w:type="band2Horz">
      <w:tcPr>
        <w:tcBorders>
          <w:top w:val="single" w:color="000000" w:themeColor="light1" w:sz="4" w:space="0"/>
          <w:bottom w:val="single" w:color="000000" w:themeColor="light1" w:sz="4" w:space="0"/>
        </w:tcBorders>
        <w:shd w:val="clear" w:color="ffffff" w:themeColor="text1" w:themeTint="80" w:fill="7f7f7f" w:themeFill="text1" w:themeFillTint="80"/>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text1" w:themeTint="80" w:sz="32" w:space="0"/>
          <w:bottom w:val="single" w:color="000000" w:themeColor="light1" w:sz="12" w:space="0"/>
        </w:tcBorders>
        <w:shd w:val="clear" w:color="ffffff" w:themeColor="text1" w:themeTint="80" w:fill="7f7f7f" w:themeFill="text1" w:themeFillTint="80"/>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39">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tcBorders>
          <w:top w:val="single" w:color="000000" w:themeColor="light1" w:sz="4" w:space="0"/>
          <w:bottom w:val="single" w:color="000000" w:themeColor="light1" w:sz="4" w:space="0"/>
        </w:tcBorders>
        <w:shd w:val="clear" w:color="ffffff" w:themeColor="accent1" w:fill="4f81bd" w:themeFill="accent1"/>
      </w:tcPr>
    </w:tblStylePr>
    <w:tblStylePr w:type="band1Vert">
      <w:tcPr>
        <w:tcBorders>
          <w:left w:val="single" w:color="000000" w:themeColor="light1" w:sz="4" w:space="0"/>
          <w:right w:val="single" w:color="000000" w:themeColor="light1" w:sz="4" w:space="0"/>
        </w:tcBorders>
        <w:shd w:val="clear" w:color="ffffff" w:themeColor="accent1" w:fill="4f81bd" w:themeFill="accent1"/>
      </w:tcPr>
    </w:tblStylePr>
    <w:tblStylePr w:type="band2Horz">
      <w:tcPr>
        <w:tcBorders>
          <w:top w:val="single" w:color="000000" w:themeColor="light1" w:sz="4" w:space="0"/>
          <w:bottom w:val="single" w:color="000000" w:themeColor="light1" w:sz="4" w:space="0"/>
        </w:tcBorders>
        <w:shd w:val="clear" w:color="ffffff" w:themeColor="accent1" w:fill="4f81bd" w:themeFill="accent1"/>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1" w:sz="32" w:space="0"/>
          <w:bottom w:val="single" w:color="000000" w:themeColor="light1" w:sz="12" w:space="0"/>
        </w:tcBorders>
        <w:shd w:val="clear" w:color="ffffff" w:themeColor="accent1" w:fill="4f81bd" w:themeFill="accent1"/>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40">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tcBorders>
          <w:top w:val="single" w:color="000000" w:themeColor="light1" w:sz="4" w:space="0"/>
          <w:bottom w:val="single" w:color="000000" w:themeColor="light1" w:sz="4" w:space="0"/>
        </w:tcBorders>
        <w:shd w:val="clear" w:color="ffffff" w:themeColor="accent2" w:themeTint="97" w:fill="d99694" w:themeFill="accent2" w:themeFillTint="97"/>
      </w:tcPr>
    </w:tblStylePr>
    <w:tblStylePr w:type="band1Vert">
      <w:tcPr>
        <w:tcBorders>
          <w:left w:val="single" w:color="000000" w:themeColor="light1" w:sz="4" w:space="0"/>
          <w:right w:val="single" w:color="000000" w:themeColor="light1" w:sz="4" w:space="0"/>
        </w:tcBorders>
        <w:shd w:val="clear" w:color="ffffff" w:themeColor="accent2" w:themeTint="97" w:fill="d99694" w:themeFill="accent2" w:themeFillTint="97"/>
      </w:tcPr>
    </w:tblStylePr>
    <w:tblStylePr w:type="band2Horz">
      <w:tcPr>
        <w:tcBorders>
          <w:top w:val="single" w:color="000000" w:themeColor="light1" w:sz="4" w:space="0"/>
          <w:bottom w:val="single" w:color="000000" w:themeColor="light1" w:sz="4" w:space="0"/>
        </w:tcBorders>
        <w:shd w:val="clear" w:color="ffffff" w:themeColor="accent2" w:themeTint="97" w:fill="d99694" w:themeFill="accent2" w:themeFillTint="97"/>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2" w:themeTint="97" w:sz="32" w:space="0"/>
          <w:bottom w:val="single" w:color="000000" w:themeColor="light1" w:sz="12" w:space="0"/>
        </w:tcBorders>
        <w:shd w:val="clear" w:color="ffffff" w:themeColor="accent2" w:themeTint="97" w:fill="d99694" w:themeFill="accent2" w:themeFillTint="97"/>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41">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tcBorders>
          <w:top w:val="single" w:color="000000" w:themeColor="light1" w:sz="4" w:space="0"/>
          <w:bottom w:val="single" w:color="000000" w:themeColor="light1" w:sz="4" w:space="0"/>
        </w:tcBorders>
        <w:shd w:val="clear" w:color="ffffff" w:themeColor="accent3" w:themeTint="98" w:fill="c3d69b" w:themeFill="accent3" w:themeFillTint="98"/>
      </w:tcPr>
    </w:tblStylePr>
    <w:tblStylePr w:type="band1Vert">
      <w:tcPr>
        <w:tcBorders>
          <w:left w:val="single" w:color="000000" w:themeColor="light1" w:sz="4" w:space="0"/>
          <w:right w:val="single" w:color="000000" w:themeColor="light1" w:sz="4" w:space="0"/>
        </w:tcBorders>
        <w:shd w:val="clear" w:color="ffffff" w:themeColor="accent3" w:themeTint="98" w:fill="c3d69b" w:themeFill="accent3" w:themeFillTint="98"/>
      </w:tcPr>
    </w:tblStylePr>
    <w:tblStylePr w:type="band2Horz">
      <w:tcPr>
        <w:tcBorders>
          <w:top w:val="single" w:color="000000" w:themeColor="light1" w:sz="4" w:space="0"/>
          <w:bottom w:val="single" w:color="000000" w:themeColor="light1" w:sz="4" w:space="0"/>
        </w:tcBorders>
        <w:shd w:val="clear" w:color="ffffff" w:themeColor="accent3" w:themeTint="98" w:fill="c3d69b" w:themeFill="accent3" w:themeFillTint="98"/>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3" w:themeTint="98" w:sz="32" w:space="0"/>
          <w:bottom w:val="single" w:color="000000" w:themeColor="light1" w:sz="12" w:space="0"/>
        </w:tcBorders>
        <w:shd w:val="clear" w:color="ffffff" w:themeColor="accent3" w:themeTint="98" w:fill="c3d69b" w:themeFill="accent3" w:themeFillTint="98"/>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42">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tcBorders>
          <w:top w:val="single" w:color="000000" w:themeColor="light1" w:sz="4" w:space="0"/>
          <w:bottom w:val="single" w:color="000000" w:themeColor="light1" w:sz="4" w:space="0"/>
        </w:tcBorders>
        <w:shd w:val="clear" w:color="ffffff" w:themeColor="accent4" w:themeTint="9A" w:fill="b2a1c6" w:themeFill="accent4" w:themeFillTint="9A"/>
      </w:tcPr>
    </w:tblStylePr>
    <w:tblStylePr w:type="band1Vert">
      <w:tcPr>
        <w:tcBorders>
          <w:left w:val="single" w:color="000000" w:themeColor="light1" w:sz="4" w:space="0"/>
          <w:right w:val="single" w:color="000000" w:themeColor="light1" w:sz="4" w:space="0"/>
        </w:tcBorders>
        <w:shd w:val="clear" w:color="ffffff" w:themeColor="accent4" w:themeTint="9A" w:fill="b2a1c6" w:themeFill="accent4" w:themeFillTint="9A"/>
      </w:tcPr>
    </w:tblStylePr>
    <w:tblStylePr w:type="band2Horz">
      <w:tcPr>
        <w:tcBorders>
          <w:top w:val="single" w:color="000000" w:themeColor="light1" w:sz="4" w:space="0"/>
          <w:bottom w:val="single" w:color="000000" w:themeColor="light1" w:sz="4" w:space="0"/>
        </w:tcBorders>
        <w:shd w:val="clear" w:color="ffffff" w:themeColor="accent4" w:themeTint="9A" w:fill="b2a1c6" w:themeFill="accent4" w:themeFillTint="9A"/>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4" w:themeTint="9A" w:sz="32" w:space="0"/>
          <w:bottom w:val="single" w:color="000000" w:themeColor="light1" w:sz="12" w:space="0"/>
        </w:tcBorders>
        <w:shd w:val="clear" w:color="ffffff" w:themeColor="accent4" w:themeTint="9A" w:fill="b2a1c6" w:themeFill="accent4" w:themeFillTint="9A"/>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43">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tcBorders>
          <w:top w:val="single" w:color="000000" w:themeColor="light1" w:sz="4" w:space="0"/>
          <w:bottom w:val="single" w:color="000000" w:themeColor="light1" w:sz="4" w:space="0"/>
        </w:tcBorders>
        <w:shd w:val="clear" w:color="ffffff" w:themeColor="accent5" w:themeTint="9A" w:fill="91cddc" w:themeFill="accent5" w:themeFillTint="9A"/>
      </w:tcPr>
    </w:tblStylePr>
    <w:tblStylePr w:type="band1Vert">
      <w:tcPr>
        <w:tcBorders>
          <w:left w:val="single" w:color="000000" w:themeColor="light1" w:sz="4" w:space="0"/>
          <w:right w:val="single" w:color="000000" w:themeColor="light1" w:sz="4" w:space="0"/>
        </w:tcBorders>
        <w:shd w:val="clear" w:color="ffffff" w:themeColor="accent5" w:themeTint="9A" w:fill="91cddc" w:themeFill="accent5" w:themeFillTint="9A"/>
      </w:tcPr>
    </w:tblStylePr>
    <w:tblStylePr w:type="band2Horz">
      <w:tcPr>
        <w:tcBorders>
          <w:top w:val="single" w:color="000000" w:themeColor="light1" w:sz="4" w:space="0"/>
          <w:bottom w:val="single" w:color="000000" w:themeColor="light1" w:sz="4" w:space="0"/>
        </w:tcBorders>
        <w:shd w:val="clear" w:color="ffffff" w:themeColor="accent5" w:themeTint="9A" w:fill="91cddc" w:themeFill="accent5" w:themeFillTint="9A"/>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5" w:themeTint="9A" w:sz="32" w:space="0"/>
          <w:bottom w:val="single" w:color="000000" w:themeColor="light1" w:sz="12" w:space="0"/>
        </w:tcBorders>
        <w:shd w:val="clear" w:color="ffffff" w:themeColor="accent5" w:themeTint="9A" w:fill="91cddc" w:themeFill="accent5" w:themeFillTint="9A"/>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44">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tcBorders>
          <w:top w:val="single" w:color="000000" w:themeColor="light1" w:sz="4" w:space="0"/>
          <w:bottom w:val="single" w:color="000000" w:themeColor="light1" w:sz="4" w:space="0"/>
        </w:tcBorders>
        <w:shd w:val="clear" w:color="ffffff" w:themeColor="accent6" w:themeTint="98" w:fill="f9bf90" w:themeFill="accent6" w:themeFillTint="98"/>
      </w:tcPr>
    </w:tblStylePr>
    <w:tblStylePr w:type="band1Vert">
      <w:tcPr>
        <w:tcBorders>
          <w:left w:val="single" w:color="000000" w:themeColor="light1" w:sz="4" w:space="0"/>
          <w:right w:val="single" w:color="000000" w:themeColor="light1" w:sz="4" w:space="0"/>
        </w:tcBorders>
        <w:shd w:val="clear" w:color="ffffff" w:themeColor="accent6" w:themeTint="98" w:fill="f9bf90" w:themeFill="accent6" w:themeFillTint="98"/>
      </w:tcPr>
    </w:tblStylePr>
    <w:tblStylePr w:type="band2Horz">
      <w:tcPr>
        <w:tcBorders>
          <w:top w:val="single" w:color="000000" w:themeColor="light1" w:sz="4" w:space="0"/>
          <w:bottom w:val="single" w:color="000000" w:themeColor="light1" w:sz="4" w:space="0"/>
        </w:tcBorders>
        <w:shd w:val="clear" w:color="ffffff" w:themeColor="accent6" w:themeTint="98" w:fill="f9bf90" w:themeFill="accent6" w:themeFillTint="98"/>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tcBorders>
          <w:top w:val="single" w:color="000000" w:themeColor="accent6" w:themeTint="98" w:sz="32" w:space="0"/>
          <w:bottom w:val="single" w:color="000000" w:themeColor="light1" w:sz="12" w:space="0"/>
        </w:tcBorders>
        <w:shd w:val="clear" w:color="ffffff" w:themeColor="accent6" w:themeTint="98" w:fill="f9bf90" w:themeFill="accent6" w:themeFillTint="98"/>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45">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46">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747">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748">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749">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750">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751">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752">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tcBorders>
          <w:top w:val="none" w:color="000000" w:sz="4" w:space="0"/>
          <w:left w:val="none" w:color="000000" w:sz="4" w:space="0"/>
          <w:bottom w:val="none" w:color="000000" w:sz="4" w:space="0"/>
          <w:right w:val="single" w:color="000000" w:themeColor="text1" w:themeTint="80" w:sz="4" w:space="0"/>
        </w:tcBorders>
        <w:shd w:val="clear" w:color="ffffff"/>
      </w:tcPr>
    </w:tblStylePr>
    <w:tblStylePr w:type="firstRow">
      <w:rPr>
        <w:rFonts w:ascii="Arial" w:hAnsi="Arial"/>
        <w:i/>
        <w:color w:val="4a4a4a" w:themeColor="text1" w:themeTint="80" w:themeShade="95"/>
        <w:sz w:val="22"/>
      </w:rPr>
      <w:tcPr>
        <w:tcBorders>
          <w:top w:val="none" w:color="000000" w:sz="4" w:space="0"/>
          <w:left w:val="none" w:color="000000" w:sz="4" w:space="0"/>
          <w:bottom w:val="single" w:color="000000" w:themeColor="text1" w:themeTint="80" w:sz="4" w:space="0"/>
          <w:right w:val="none" w:color="000000" w:sz="4" w:space="0"/>
        </w:tcBorders>
        <w:shd w:val="clear" w:color="ffffff" w:themeColor="light1" w:fill="ffffff" w:themeFill="light1"/>
      </w:tcPr>
    </w:tblStylePr>
    <w:tblStylePr w:type="lastCol">
      <w:rPr>
        <w:rFonts w:ascii="Arial" w:hAnsi="Arial"/>
        <w:i/>
        <w:color w:val="4a4a4a" w:themeColor="text1" w:themeTint="80" w:themeShade="95"/>
        <w:sz w:val="22"/>
      </w:rPr>
      <w:tcPr>
        <w:tcBorders>
          <w:top w:val="none" w:color="000000" w:sz="4" w:space="0"/>
          <w:left w:val="single" w:color="000000" w:themeColor="text1" w:themeTint="80" w:sz="4" w:space="0"/>
          <w:bottom w:val="none" w:color="000000" w:sz="4" w:space="0"/>
          <w:right w:val="none" w:color="000000" w:sz="4" w:space="0"/>
        </w:tcBorders>
        <w:shd w:val="clear" w:color="ffffff"/>
      </w:tcPr>
    </w:tblStylePr>
    <w:tblStylePr w:type="lastRow">
      <w:rPr>
        <w:rFonts w:ascii="Arial" w:hAnsi="Arial"/>
        <w:i/>
        <w:color w:val="4a4a4a" w:themeColor="text1" w:themeTint="80" w:themeShade="95"/>
        <w:sz w:val="22"/>
      </w:rPr>
      <w:tcPr>
        <w:tcBorders>
          <w:top w:val="single" w:color="000000" w:themeColor="text1" w:themeTint="80"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4a4a4a" w:themeColor="text1" w:themeTint="80" w:themeShade="95"/>
        <w:sz w:val="22"/>
      </w:rPr>
    </w:tblStylePr>
  </w:style>
  <w:style w:type="table" w:styleId="753">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tcBorders>
          <w:top w:val="none" w:color="000000" w:sz="4" w:space="0"/>
          <w:left w:val="none" w:color="000000" w:sz="4" w:space="0"/>
          <w:bottom w:val="none" w:color="000000" w:sz="4" w:space="0"/>
          <w:right w:val="single" w:color="000000" w:themeColor="accent1" w:sz="4" w:space="0"/>
        </w:tcBorders>
        <w:shd w:val="clear" w:color="ffffff"/>
      </w:tcPr>
    </w:tblStylePr>
    <w:tblStylePr w:type="firstRow">
      <w:rPr>
        <w:rFonts w:ascii="Arial" w:hAnsi="Arial"/>
        <w:i/>
        <w:color w:val="2a4b71" w:themeColor="accent1" w:themeShade="95"/>
        <w:sz w:val="22"/>
      </w:rPr>
      <w:tcPr>
        <w:tcBorders>
          <w:top w:val="none" w:color="000000" w:sz="4" w:space="0"/>
          <w:left w:val="none" w:color="000000" w:sz="4" w:space="0"/>
          <w:bottom w:val="single" w:color="000000" w:themeColor="accent1" w:sz="4" w:space="0"/>
          <w:right w:val="none" w:color="000000" w:sz="4" w:space="0"/>
        </w:tcBorders>
        <w:shd w:val="clear" w:color="ffffff" w:themeColor="light1" w:fill="ffffff" w:themeFill="light1"/>
      </w:tcPr>
    </w:tblStylePr>
    <w:tblStylePr w:type="lastCol">
      <w:rPr>
        <w:rFonts w:ascii="Arial" w:hAnsi="Arial"/>
        <w:i/>
        <w:color w:val="2a4b71" w:themeColor="accent1" w:themeShade="95"/>
        <w:sz w:val="22"/>
      </w:rPr>
      <w:tcPr>
        <w:tcBorders>
          <w:top w:val="none" w:color="000000" w:sz="4" w:space="0"/>
          <w:left w:val="single" w:color="000000" w:themeColor="accent1" w:sz="4" w:space="0"/>
          <w:bottom w:val="none" w:color="000000" w:sz="4" w:space="0"/>
          <w:right w:val="none" w:color="000000" w:sz="4" w:space="0"/>
        </w:tcBorders>
        <w:shd w:val="clear" w:color="ffffff"/>
      </w:tcPr>
    </w:tblStylePr>
    <w:tblStylePr w:type="lastRow">
      <w:rPr>
        <w:rFonts w:ascii="Arial" w:hAnsi="Arial"/>
        <w:i/>
        <w:color w:val="2a4b71" w:themeColor="accent1" w:themeShade="95"/>
        <w:sz w:val="22"/>
      </w:rPr>
      <w:tcPr>
        <w:tcBorders>
          <w:top w:val="single" w:color="000000" w:themeColor="accent1"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2a4b71" w:themeColor="accent1" w:themeShade="95"/>
        <w:sz w:val="22"/>
      </w:rPr>
    </w:tblStylePr>
  </w:style>
  <w:style w:type="table" w:styleId="754">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tcBorders>
          <w:top w:val="none" w:color="000000" w:sz="4" w:space="0"/>
          <w:left w:val="none" w:color="000000" w:sz="4" w:space="0"/>
          <w:bottom w:val="none" w:color="000000" w:sz="4" w:space="0"/>
          <w:right w:val="single" w:color="000000" w:themeColor="accent2" w:themeTint="97" w:sz="4" w:space="0"/>
        </w:tcBorders>
        <w:shd w:val="clear" w:color="ffffff"/>
      </w:tcPr>
    </w:tblStylePr>
    <w:tblStylePr w:type="firstRow">
      <w:rPr>
        <w:rFonts w:ascii="Arial" w:hAnsi="Arial"/>
        <w:i/>
        <w:color w:val="9c3a37" w:themeColor="accent2" w:themeTint="97" w:themeShade="95"/>
        <w:sz w:val="22"/>
      </w:rPr>
      <w:tcPr>
        <w:tcBorders>
          <w:top w:val="none" w:color="000000" w:sz="4" w:space="0"/>
          <w:left w:val="none" w:color="000000" w:sz="4" w:space="0"/>
          <w:bottom w:val="single" w:color="000000" w:themeColor="accent2" w:themeTint="97" w:sz="4" w:space="0"/>
          <w:right w:val="none" w:color="000000" w:sz="4" w:space="0"/>
        </w:tcBorders>
        <w:shd w:val="clear" w:color="ffffff" w:themeColor="light1" w:fill="ffffff" w:themeFill="light1"/>
      </w:tcPr>
    </w:tblStylePr>
    <w:tblStylePr w:type="lastCol">
      <w:rPr>
        <w:rFonts w:ascii="Arial" w:hAnsi="Arial"/>
        <w:i/>
        <w:color w:val="9c3a37" w:themeColor="accent2" w:themeTint="97" w:themeShade="95"/>
        <w:sz w:val="22"/>
      </w:rPr>
      <w:tcPr>
        <w:tcBorders>
          <w:top w:val="none" w:color="000000" w:sz="4" w:space="0"/>
          <w:left w:val="single" w:color="000000" w:themeColor="accent2" w:themeTint="97" w:sz="4" w:space="0"/>
          <w:bottom w:val="none" w:color="000000" w:sz="4" w:space="0"/>
          <w:right w:val="none" w:color="000000" w:sz="4" w:space="0"/>
        </w:tcBorders>
        <w:shd w:val="clear" w:color="ffffff"/>
      </w:tcPr>
    </w:tblStylePr>
    <w:tblStylePr w:type="lastRow">
      <w:rPr>
        <w:rFonts w:ascii="Arial" w:hAnsi="Arial"/>
        <w:i/>
        <w:color w:val="9c3a37" w:themeColor="accent2" w:themeTint="97" w:themeShade="95"/>
        <w:sz w:val="22"/>
      </w:rPr>
      <w:tcPr>
        <w:tcBorders>
          <w:top w:val="single" w:color="000000" w:themeColor="accent2" w:themeTint="97"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9c3a37" w:themeColor="accent2" w:themeTint="97" w:themeShade="95"/>
        <w:sz w:val="22"/>
      </w:rPr>
    </w:tblStylePr>
  </w:style>
  <w:style w:type="table" w:styleId="755">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tcBorders>
          <w:top w:val="none" w:color="000000" w:sz="4" w:space="0"/>
          <w:left w:val="none" w:color="000000" w:sz="4" w:space="0"/>
          <w:bottom w:val="none" w:color="000000" w:sz="4" w:space="0"/>
          <w:right w:val="single" w:color="000000" w:themeColor="accent3" w:themeTint="98" w:sz="4" w:space="0"/>
        </w:tcBorders>
        <w:shd w:val="clear" w:color="ffffff"/>
      </w:tcPr>
    </w:tblStylePr>
    <w:tblStylePr w:type="firstRow">
      <w:rPr>
        <w:rFonts w:ascii="Arial" w:hAnsi="Arial"/>
        <w:i/>
        <w:color w:val="7c983f" w:themeColor="accent3" w:themeTint="98" w:themeShade="95"/>
        <w:sz w:val="22"/>
      </w:rPr>
      <w:tcPr>
        <w:tcBorders>
          <w:top w:val="none" w:color="000000" w:sz="4" w:space="0"/>
          <w:left w:val="none" w:color="000000" w:sz="4" w:space="0"/>
          <w:bottom w:val="single" w:color="000000" w:themeColor="accent3" w:themeTint="98" w:sz="4" w:space="0"/>
          <w:right w:val="none" w:color="000000" w:sz="4" w:space="0"/>
        </w:tcBorders>
        <w:shd w:val="clear" w:color="ffffff" w:themeColor="light1" w:fill="ffffff" w:themeFill="light1"/>
      </w:tcPr>
    </w:tblStylePr>
    <w:tblStylePr w:type="lastCol">
      <w:rPr>
        <w:rFonts w:ascii="Arial" w:hAnsi="Arial"/>
        <w:i/>
        <w:color w:val="7c983f" w:themeColor="accent3" w:themeTint="98" w:themeShade="95"/>
        <w:sz w:val="22"/>
      </w:rPr>
      <w:tcPr>
        <w:tcBorders>
          <w:top w:val="none" w:color="000000" w:sz="4" w:space="0"/>
          <w:left w:val="single" w:color="000000" w:themeColor="accent3" w:themeTint="98" w:sz="4" w:space="0"/>
          <w:bottom w:val="none" w:color="000000" w:sz="4" w:space="0"/>
          <w:right w:val="none" w:color="000000" w:sz="4" w:space="0"/>
        </w:tcBorders>
        <w:shd w:val="clear" w:color="ffffff"/>
      </w:tcPr>
    </w:tblStylePr>
    <w:tblStylePr w:type="lastRow">
      <w:rPr>
        <w:rFonts w:ascii="Arial" w:hAnsi="Arial"/>
        <w:i/>
        <w:color w:val="7c983f" w:themeColor="accent3" w:themeTint="98" w:themeShade="95"/>
        <w:sz w:val="22"/>
      </w:rPr>
      <w:tcPr>
        <w:tcBorders>
          <w:top w:val="single" w:color="000000" w:themeColor="accent3" w:themeTint="98"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7c983f" w:themeColor="accent3" w:themeTint="98" w:themeShade="95"/>
        <w:sz w:val="22"/>
      </w:rPr>
    </w:tblStylePr>
  </w:style>
  <w:style w:type="table" w:styleId="756">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tcBorders>
          <w:top w:val="none" w:color="000000" w:sz="4" w:space="0"/>
          <w:left w:val="none" w:color="000000" w:sz="4" w:space="0"/>
          <w:bottom w:val="none" w:color="000000" w:sz="4" w:space="0"/>
          <w:right w:val="single" w:color="000000" w:themeColor="accent4" w:themeTint="9A" w:sz="4" w:space="0"/>
        </w:tcBorders>
        <w:shd w:val="clear" w:color="ffffff"/>
      </w:tcPr>
    </w:tblStylePr>
    <w:tblStylePr w:type="firstRow">
      <w:rPr>
        <w:rFonts w:ascii="Arial" w:hAnsi="Arial"/>
        <w:i/>
        <w:color w:val="664f82" w:themeColor="accent4" w:themeTint="9A" w:themeShade="95"/>
        <w:sz w:val="22"/>
      </w:rPr>
      <w:tcPr>
        <w:tcBorders>
          <w:top w:val="none" w:color="000000" w:sz="4" w:space="0"/>
          <w:left w:val="none" w:color="000000" w:sz="4" w:space="0"/>
          <w:bottom w:val="single" w:color="000000" w:themeColor="accent4" w:themeTint="9A" w:sz="4" w:space="0"/>
          <w:right w:val="none" w:color="000000" w:sz="4" w:space="0"/>
        </w:tcBorders>
        <w:shd w:val="clear" w:color="ffffff" w:themeColor="light1" w:fill="ffffff" w:themeFill="light1"/>
      </w:tcPr>
    </w:tblStylePr>
    <w:tblStylePr w:type="lastCol">
      <w:rPr>
        <w:rFonts w:ascii="Arial" w:hAnsi="Arial"/>
        <w:i/>
        <w:color w:val="664f82" w:themeColor="accent4" w:themeTint="9A" w:themeShade="95"/>
        <w:sz w:val="22"/>
      </w:rPr>
      <w:tcPr>
        <w:tcBorders>
          <w:top w:val="none" w:color="000000" w:sz="4" w:space="0"/>
          <w:left w:val="single" w:color="000000" w:themeColor="accent4" w:themeTint="9A" w:sz="4" w:space="0"/>
          <w:bottom w:val="none" w:color="000000" w:sz="4" w:space="0"/>
          <w:right w:val="none" w:color="000000" w:sz="4" w:space="0"/>
        </w:tcBorders>
        <w:shd w:val="clear" w:color="ffffff"/>
      </w:tcPr>
    </w:tblStylePr>
    <w:tblStylePr w:type="lastRow">
      <w:rPr>
        <w:rFonts w:ascii="Arial" w:hAnsi="Arial"/>
        <w:i/>
        <w:color w:val="664f82" w:themeColor="accent4" w:themeTint="9A" w:themeShade="95"/>
        <w:sz w:val="22"/>
      </w:rPr>
      <w:tcPr>
        <w:tcBorders>
          <w:top w:val="single" w:color="000000" w:themeColor="accent4" w:themeTint="9A"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664f82" w:themeColor="accent4" w:themeTint="9A" w:themeShade="95"/>
        <w:sz w:val="22"/>
      </w:rPr>
    </w:tblStylePr>
  </w:style>
  <w:style w:type="table" w:styleId="757">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tcBorders>
          <w:top w:val="none" w:color="000000" w:sz="4" w:space="0"/>
          <w:left w:val="none" w:color="000000" w:sz="4" w:space="0"/>
          <w:bottom w:val="none" w:color="000000" w:sz="4" w:space="0"/>
          <w:right w:val="single" w:color="000000" w:themeColor="accent5" w:themeTint="9A" w:sz="4" w:space="0"/>
        </w:tcBorders>
        <w:shd w:val="clear" w:color="ffffff"/>
      </w:tcPr>
    </w:tblStylePr>
    <w:tblStylePr w:type="firstRow">
      <w:rPr>
        <w:rFonts w:ascii="Arial" w:hAnsi="Arial"/>
        <w:i/>
        <w:color w:val="338aa0" w:themeColor="accent5" w:themeTint="9A" w:themeShade="95"/>
        <w:sz w:val="22"/>
      </w:rPr>
      <w:tcPr>
        <w:tcBorders>
          <w:top w:val="none" w:color="000000" w:sz="4" w:space="0"/>
          <w:left w:val="none" w:color="000000" w:sz="4" w:space="0"/>
          <w:bottom w:val="single" w:color="000000" w:themeColor="accent5" w:themeTint="9A" w:sz="4" w:space="0"/>
          <w:right w:val="none" w:color="000000" w:sz="4" w:space="0"/>
        </w:tcBorders>
        <w:shd w:val="clear" w:color="ffffff" w:themeColor="light1" w:fill="ffffff" w:themeFill="light1"/>
      </w:tcPr>
    </w:tblStylePr>
    <w:tblStylePr w:type="lastCol">
      <w:rPr>
        <w:rFonts w:ascii="Arial" w:hAnsi="Arial"/>
        <w:i/>
        <w:color w:val="338aa0" w:themeColor="accent5" w:themeTint="9A" w:themeShade="95"/>
        <w:sz w:val="22"/>
      </w:rPr>
      <w:tcPr>
        <w:tcBorders>
          <w:top w:val="none" w:color="000000" w:sz="4" w:space="0"/>
          <w:left w:val="single" w:color="000000" w:themeColor="accent5" w:themeTint="9A" w:sz="4" w:space="0"/>
          <w:bottom w:val="none" w:color="000000" w:sz="4" w:space="0"/>
          <w:right w:val="none" w:color="000000" w:sz="4" w:space="0"/>
        </w:tcBorders>
        <w:shd w:val="clear" w:color="ffffff"/>
      </w:tcPr>
    </w:tblStylePr>
    <w:tblStylePr w:type="lastRow">
      <w:rPr>
        <w:rFonts w:ascii="Arial" w:hAnsi="Arial"/>
        <w:i/>
        <w:color w:val="338aa0" w:themeColor="accent5" w:themeTint="9A" w:themeShade="95"/>
        <w:sz w:val="22"/>
      </w:rPr>
      <w:tcPr>
        <w:tcBorders>
          <w:top w:val="single" w:color="000000" w:themeColor="accent5" w:themeTint="9A"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338aa0" w:themeColor="accent5" w:themeTint="9A" w:themeShade="95"/>
        <w:sz w:val="22"/>
      </w:rPr>
    </w:tblStylePr>
  </w:style>
  <w:style w:type="table" w:styleId="758">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tcBorders>
          <w:top w:val="none" w:color="000000" w:sz="4" w:space="0"/>
          <w:left w:val="none" w:color="000000" w:sz="4" w:space="0"/>
          <w:bottom w:val="none" w:color="000000" w:sz="4" w:space="0"/>
          <w:right w:val="single" w:color="000000" w:themeColor="accent6" w:themeTint="98" w:sz="4" w:space="0"/>
        </w:tcBorders>
        <w:shd w:val="clear" w:color="ffffff"/>
      </w:tcPr>
    </w:tblStylePr>
    <w:tblStylePr w:type="firstRow">
      <w:rPr>
        <w:rFonts w:ascii="Arial" w:hAnsi="Arial"/>
        <w:i/>
        <w:color w:val="d9680c" w:themeColor="accent6" w:themeTint="98" w:themeShade="95"/>
        <w:sz w:val="22"/>
      </w:rPr>
      <w:tcPr>
        <w:tcBorders>
          <w:top w:val="none" w:color="000000" w:sz="4" w:space="0"/>
          <w:left w:val="none" w:color="000000" w:sz="4" w:space="0"/>
          <w:bottom w:val="single" w:color="000000" w:themeColor="accent6" w:themeTint="98" w:sz="4" w:space="0"/>
          <w:right w:val="none" w:color="000000" w:sz="4" w:space="0"/>
        </w:tcBorders>
        <w:shd w:val="clear" w:color="ffffff" w:themeColor="light1" w:fill="ffffff" w:themeFill="light1"/>
      </w:tcPr>
    </w:tblStylePr>
    <w:tblStylePr w:type="lastCol">
      <w:rPr>
        <w:rFonts w:ascii="Arial" w:hAnsi="Arial"/>
        <w:i/>
        <w:color w:val="d9680c" w:themeColor="accent6" w:themeTint="98" w:themeShade="95"/>
        <w:sz w:val="22"/>
      </w:rPr>
      <w:tcPr>
        <w:tcBorders>
          <w:top w:val="none" w:color="000000" w:sz="4" w:space="0"/>
          <w:left w:val="single" w:color="000000" w:themeColor="accent6" w:themeTint="98" w:sz="4" w:space="0"/>
          <w:bottom w:val="none" w:color="000000" w:sz="4" w:space="0"/>
          <w:right w:val="none" w:color="000000" w:sz="4" w:space="0"/>
        </w:tcBorders>
        <w:shd w:val="clear" w:color="ffffff"/>
      </w:tcPr>
    </w:tblStylePr>
    <w:tblStylePr w:type="lastRow">
      <w:rPr>
        <w:rFonts w:ascii="Arial" w:hAnsi="Arial"/>
        <w:i/>
        <w:color w:val="d9680c" w:themeColor="accent6" w:themeTint="98" w:themeShade="95"/>
        <w:sz w:val="22"/>
      </w:rPr>
      <w:tcPr>
        <w:tcBorders>
          <w:top w:val="single" w:color="000000" w:themeColor="accent6" w:themeTint="98" w:sz="4" w:space="0"/>
          <w:left w:val="none" w:color="000000" w:sz="4" w:space="0"/>
          <w:bottom w:val="none" w:color="000000" w:sz="4" w:space="0"/>
          <w:right w:val="none" w:color="000000" w:sz="4" w:space="0"/>
        </w:tcBorders>
        <w:shd w:val="clear" w:color="ffffff" w:themeColor="light1" w:fill="ffffff" w:themeFill="light1"/>
      </w:tcPr>
    </w:tblStylePr>
    <w:tblStylePr w:type="wholeTable">
      <w:rPr>
        <w:rFonts w:ascii="Arial" w:hAnsi="Arial"/>
        <w:color w:val="d9680c" w:themeColor="accent6" w:themeTint="98" w:themeShade="95"/>
        <w:sz w:val="22"/>
      </w:rPr>
    </w:tblStylePr>
  </w:style>
  <w:style w:type="table" w:styleId="759">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760">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761">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762">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763">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764">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765">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766">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767">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768">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769">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770">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771">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772">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773">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774">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775">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776">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777">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778">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779">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780" w:default="1">
    <w:name w:val="Normal"/>
    <w:qFormat/>
    <w:pPr>
      <w:widowControl/>
      <w:spacing w:before="0" w:after="0"/>
      <w:jc w:val="left"/>
    </w:pPr>
    <w:rPr>
      <w:rFonts w:ascii="Times New Roman" w:hAnsi="Times New Roman" w:eastAsia="Droid Sans Fallback" w:cs="Lohit Devanagari"/>
      <w:color w:val="auto"/>
      <w:sz w:val="24"/>
      <w:szCs w:val="24"/>
      <w:lang w:val="ru-RU" w:eastAsia="ru-RU" w:bidi="ar-SA"/>
    </w:rPr>
  </w:style>
  <w:style w:type="paragraph" w:styleId="781">
    <w:name w:val="Heading 1"/>
    <w:basedOn w:val="780"/>
    <w:uiPriority w:val="9"/>
    <w:qFormat/>
    <w:pPr>
      <w:spacing w:beforeAutospacing="1" w:afterAutospacing="1"/>
      <w:outlineLvl w:val="0"/>
    </w:pPr>
    <w:rPr>
      <w:color w:val="3c392c"/>
      <w:sz w:val="36"/>
      <w:szCs w:val="36"/>
      <w:lang w:val="en-US" w:eastAsia="en-US"/>
    </w:rPr>
  </w:style>
  <w:style w:type="paragraph" w:styleId="782">
    <w:name w:val="Heading 2"/>
    <w:basedOn w:val="780"/>
    <w:uiPriority w:val="9"/>
    <w:qFormat/>
    <w:pPr>
      <w:keepNext/>
      <w:outlineLvl w:val="1"/>
    </w:pPr>
    <w:rPr>
      <w:rFonts w:ascii="Arial" w:hAnsi="Arial"/>
      <w:b/>
      <w:bCs/>
      <w:sz w:val="28"/>
      <w:szCs w:val="20"/>
      <w:lang w:val="en-US" w:eastAsia="en-US"/>
    </w:rPr>
  </w:style>
  <w:style w:type="paragraph" w:styleId="783">
    <w:name w:val="Heading 3"/>
    <w:basedOn w:val="780"/>
    <w:uiPriority w:val="9"/>
    <w:qFormat/>
    <w:pPr>
      <w:keepNext/>
      <w:widowControl w:val="off"/>
      <w:ind w:right="113"/>
      <w:jc w:val="center"/>
      <w:outlineLvl w:val="2"/>
    </w:pPr>
    <w:rPr>
      <w:b/>
      <w:sz w:val="28"/>
      <w:szCs w:val="20"/>
      <w:lang w:val="en-US" w:eastAsia="en-US"/>
    </w:rPr>
  </w:style>
  <w:style w:type="paragraph" w:styleId="784">
    <w:name w:val="Heading 4"/>
    <w:basedOn w:val="780"/>
    <w:uiPriority w:val="9"/>
    <w:unhideWhenUsed/>
    <w:qFormat/>
    <w:pPr>
      <w:keepNext/>
      <w:keepLines/>
      <w:spacing w:before="320" w:after="200"/>
      <w:outlineLvl w:val="3"/>
    </w:pPr>
    <w:rPr>
      <w:rFonts w:ascii="Arial" w:hAnsi="Arial" w:eastAsia="Arial" w:cs="Arial"/>
      <w:b/>
      <w:bCs/>
      <w:sz w:val="26"/>
      <w:szCs w:val="26"/>
    </w:rPr>
  </w:style>
  <w:style w:type="paragraph" w:styleId="785">
    <w:name w:val="Heading 5"/>
    <w:basedOn w:val="780"/>
    <w:uiPriority w:val="9"/>
    <w:unhideWhenUsed/>
    <w:qFormat/>
    <w:pPr>
      <w:keepNext/>
      <w:keepLines/>
      <w:spacing w:before="320" w:after="200"/>
      <w:outlineLvl w:val="4"/>
    </w:pPr>
    <w:rPr>
      <w:rFonts w:ascii="Arial" w:hAnsi="Arial" w:eastAsia="Arial" w:cs="Arial"/>
      <w:b/>
      <w:bCs/>
      <w:sz w:val="24"/>
      <w:szCs w:val="24"/>
    </w:rPr>
  </w:style>
  <w:style w:type="paragraph" w:styleId="786">
    <w:name w:val="Heading 6"/>
    <w:basedOn w:val="780"/>
    <w:uiPriority w:val="9"/>
    <w:unhideWhenUsed/>
    <w:qFormat/>
    <w:pPr>
      <w:keepNext/>
      <w:keepLines/>
      <w:spacing w:before="320" w:after="200"/>
      <w:outlineLvl w:val="5"/>
    </w:pPr>
    <w:rPr>
      <w:rFonts w:ascii="Arial" w:hAnsi="Arial" w:eastAsia="Arial" w:cs="Arial"/>
      <w:b/>
      <w:bCs/>
      <w:sz w:val="22"/>
      <w:szCs w:val="22"/>
    </w:rPr>
  </w:style>
  <w:style w:type="paragraph" w:styleId="787">
    <w:name w:val="Heading 7"/>
    <w:basedOn w:val="780"/>
    <w:uiPriority w:val="9"/>
    <w:unhideWhenUsed/>
    <w:qFormat/>
    <w:pPr>
      <w:keepNext/>
      <w:keepLines/>
      <w:spacing w:before="320" w:after="200"/>
      <w:outlineLvl w:val="6"/>
    </w:pPr>
    <w:rPr>
      <w:rFonts w:ascii="Arial" w:hAnsi="Arial" w:eastAsia="Arial" w:cs="Arial"/>
      <w:b/>
      <w:bCs/>
      <w:i/>
      <w:iCs/>
      <w:sz w:val="22"/>
      <w:szCs w:val="22"/>
    </w:rPr>
  </w:style>
  <w:style w:type="paragraph" w:styleId="788">
    <w:name w:val="Heading 8"/>
    <w:basedOn w:val="780"/>
    <w:uiPriority w:val="9"/>
    <w:unhideWhenUsed/>
    <w:qFormat/>
    <w:pPr>
      <w:keepNext/>
      <w:keepLines/>
      <w:spacing w:before="320" w:after="200"/>
      <w:outlineLvl w:val="7"/>
    </w:pPr>
    <w:rPr>
      <w:rFonts w:ascii="Arial" w:hAnsi="Arial" w:eastAsia="Arial" w:cs="Arial"/>
      <w:i/>
      <w:iCs/>
      <w:sz w:val="22"/>
      <w:szCs w:val="22"/>
    </w:rPr>
  </w:style>
  <w:style w:type="paragraph" w:styleId="789">
    <w:name w:val="Heading 9"/>
    <w:basedOn w:val="780"/>
    <w:uiPriority w:val="9"/>
    <w:unhideWhenUsed/>
    <w:qFormat/>
    <w:pPr>
      <w:keepNext/>
      <w:keepLines/>
      <w:spacing w:before="320" w:after="200"/>
      <w:outlineLvl w:val="8"/>
    </w:pPr>
    <w:rPr>
      <w:rFonts w:ascii="Arial" w:hAnsi="Arial" w:eastAsia="Arial" w:cs="Arial"/>
      <w:i/>
      <w:iCs/>
      <w:sz w:val="21"/>
      <w:szCs w:val="21"/>
    </w:rPr>
  </w:style>
  <w:style w:type="character" w:styleId="790">
    <w:name w:val="Heading 1 Char"/>
    <w:uiPriority w:val="9"/>
    <w:qFormat/>
    <w:rPr>
      <w:rFonts w:ascii="Arial" w:hAnsi="Arial" w:eastAsia="Arial" w:cs="Arial"/>
      <w:sz w:val="40"/>
      <w:szCs w:val="40"/>
    </w:rPr>
  </w:style>
  <w:style w:type="character" w:styleId="791">
    <w:name w:val="Heading 2 Char"/>
    <w:uiPriority w:val="9"/>
    <w:qFormat/>
    <w:rPr>
      <w:rFonts w:ascii="Arial" w:hAnsi="Arial" w:eastAsia="Arial" w:cs="Arial"/>
      <w:sz w:val="34"/>
    </w:rPr>
  </w:style>
  <w:style w:type="character" w:styleId="792">
    <w:name w:val="Heading 3 Char"/>
    <w:uiPriority w:val="9"/>
    <w:qFormat/>
    <w:rPr>
      <w:rFonts w:ascii="Arial" w:hAnsi="Arial" w:eastAsia="Arial" w:cs="Arial"/>
      <w:sz w:val="30"/>
      <w:szCs w:val="30"/>
    </w:rPr>
  </w:style>
  <w:style w:type="character" w:styleId="793">
    <w:name w:val="Heading 4 Char"/>
    <w:uiPriority w:val="9"/>
    <w:qFormat/>
    <w:rPr>
      <w:rFonts w:ascii="Arial" w:hAnsi="Arial" w:eastAsia="Arial" w:cs="Arial"/>
      <w:b/>
      <w:bCs/>
      <w:sz w:val="26"/>
      <w:szCs w:val="26"/>
    </w:rPr>
  </w:style>
  <w:style w:type="character" w:styleId="794">
    <w:name w:val="Heading 5 Char"/>
    <w:uiPriority w:val="9"/>
    <w:qFormat/>
    <w:rPr>
      <w:rFonts w:ascii="Arial" w:hAnsi="Arial" w:eastAsia="Arial" w:cs="Arial"/>
      <w:b/>
      <w:bCs/>
      <w:sz w:val="24"/>
      <w:szCs w:val="24"/>
    </w:rPr>
  </w:style>
  <w:style w:type="character" w:styleId="795">
    <w:name w:val="Heading 6 Char"/>
    <w:uiPriority w:val="9"/>
    <w:qFormat/>
    <w:rPr>
      <w:rFonts w:ascii="Arial" w:hAnsi="Arial" w:eastAsia="Arial" w:cs="Arial"/>
      <w:b/>
      <w:bCs/>
      <w:sz w:val="22"/>
      <w:szCs w:val="22"/>
    </w:rPr>
  </w:style>
  <w:style w:type="character" w:styleId="796">
    <w:name w:val="Heading 7 Char"/>
    <w:uiPriority w:val="9"/>
    <w:qFormat/>
    <w:rPr>
      <w:rFonts w:ascii="Arial" w:hAnsi="Arial" w:eastAsia="Arial" w:cs="Arial"/>
      <w:b/>
      <w:bCs/>
      <w:i/>
      <w:iCs/>
      <w:sz w:val="22"/>
      <w:szCs w:val="22"/>
    </w:rPr>
  </w:style>
  <w:style w:type="character" w:styleId="797">
    <w:name w:val="Heading 8 Char"/>
    <w:uiPriority w:val="9"/>
    <w:qFormat/>
    <w:rPr>
      <w:rFonts w:ascii="Arial" w:hAnsi="Arial" w:eastAsia="Arial" w:cs="Arial"/>
      <w:i/>
      <w:iCs/>
      <w:sz w:val="22"/>
      <w:szCs w:val="22"/>
    </w:rPr>
  </w:style>
  <w:style w:type="character" w:styleId="798">
    <w:name w:val="Heading 9 Char"/>
    <w:uiPriority w:val="9"/>
    <w:qFormat/>
    <w:rPr>
      <w:rFonts w:ascii="Arial" w:hAnsi="Arial" w:eastAsia="Arial" w:cs="Arial"/>
      <w:i/>
      <w:iCs/>
      <w:sz w:val="21"/>
      <w:szCs w:val="21"/>
    </w:rPr>
  </w:style>
  <w:style w:type="character" w:styleId="799">
    <w:name w:val="Title Char"/>
    <w:uiPriority w:val="10"/>
    <w:qFormat/>
    <w:rPr>
      <w:sz w:val="48"/>
      <w:szCs w:val="48"/>
    </w:rPr>
  </w:style>
  <w:style w:type="character" w:styleId="800">
    <w:name w:val="Subtitle Char"/>
    <w:uiPriority w:val="11"/>
    <w:qFormat/>
    <w:rPr>
      <w:sz w:val="24"/>
      <w:szCs w:val="24"/>
    </w:rPr>
  </w:style>
  <w:style w:type="character" w:styleId="801">
    <w:name w:val="Quote Char"/>
    <w:uiPriority w:val="29"/>
    <w:qFormat/>
    <w:rPr>
      <w:i/>
    </w:rPr>
  </w:style>
  <w:style w:type="character" w:styleId="802">
    <w:name w:val="Intense Quote Char"/>
    <w:uiPriority w:val="30"/>
    <w:qFormat/>
    <w:rPr>
      <w:i/>
    </w:rPr>
  </w:style>
  <w:style w:type="character" w:styleId="803">
    <w:name w:val="Header Char"/>
    <w:uiPriority w:val="99"/>
    <w:qFormat/>
  </w:style>
  <w:style w:type="character" w:styleId="804">
    <w:name w:val="Footer Char"/>
    <w:uiPriority w:val="99"/>
    <w:qFormat/>
  </w:style>
  <w:style w:type="character" w:styleId="805">
    <w:name w:val="Caption Char"/>
    <w:uiPriority w:val="99"/>
    <w:qFormat/>
  </w:style>
  <w:style w:type="character" w:styleId="806">
    <w:name w:val="Hyperlink"/>
    <w:uiPriority w:val="99"/>
    <w:unhideWhenUsed/>
    <w:rPr>
      <w:color w:val="0000ff" w:themeColor="hyperlink"/>
      <w:u w:val="single"/>
    </w:rPr>
  </w:style>
  <w:style w:type="character" w:styleId="807">
    <w:name w:val="Footnote Text Char"/>
    <w:uiPriority w:val="99"/>
    <w:qFormat/>
    <w:rPr>
      <w:sz w:val="18"/>
    </w:rPr>
  </w:style>
  <w:style w:type="character" w:styleId="808">
    <w:name w:val="Символ сноски"/>
    <w:uiPriority w:val="99"/>
    <w:unhideWhenUsed/>
    <w:qFormat/>
    <w:rPr>
      <w:vertAlign w:val="superscript"/>
    </w:rPr>
  </w:style>
  <w:style w:type="character" w:styleId="809">
    <w:name w:val="footnote reference"/>
    <w:rPr>
      <w:vertAlign w:val="superscript"/>
    </w:rPr>
  </w:style>
  <w:style w:type="character" w:styleId="810">
    <w:name w:val="Endnote Text Char"/>
    <w:uiPriority w:val="99"/>
    <w:qFormat/>
    <w:rPr>
      <w:sz w:val="20"/>
    </w:rPr>
  </w:style>
  <w:style w:type="character" w:styleId="811">
    <w:name w:val="Символ концевой сноски"/>
    <w:uiPriority w:val="99"/>
    <w:semiHidden/>
    <w:unhideWhenUsed/>
    <w:qFormat/>
    <w:rPr>
      <w:vertAlign w:val="superscript"/>
    </w:rPr>
  </w:style>
  <w:style w:type="character" w:styleId="812">
    <w:name w:val="endnote reference"/>
    <w:rPr>
      <w:vertAlign w:val="superscript"/>
    </w:rPr>
  </w:style>
  <w:style w:type="character" w:styleId="813">
    <w:name w:val="Основной шрифт абзаца"/>
    <w:semiHidden/>
    <w:qFormat/>
  </w:style>
  <w:style w:type="character" w:styleId="814">
    <w:name w:val="Заголовок 1 Знак"/>
    <w:uiPriority w:val="9"/>
    <w:qFormat/>
    <w:rPr>
      <w:color w:val="3c392c"/>
      <w:sz w:val="36"/>
      <w:szCs w:val="36"/>
      <w:lang w:val="en-US" w:eastAsia="en-US"/>
    </w:rPr>
  </w:style>
  <w:style w:type="character" w:styleId="815">
    <w:name w:val="Заголовок 2 Знак"/>
    <w:uiPriority w:val="9"/>
    <w:qFormat/>
    <w:rPr>
      <w:rFonts w:ascii="Arial" w:hAnsi="Arial"/>
      <w:b/>
      <w:bCs/>
      <w:sz w:val="28"/>
      <w:lang w:val="en-US" w:eastAsia="en-US"/>
    </w:rPr>
  </w:style>
  <w:style w:type="character" w:styleId="816">
    <w:name w:val="Заголовок 3 Знак"/>
    <w:uiPriority w:val="9"/>
    <w:qFormat/>
    <w:rPr>
      <w:b/>
      <w:sz w:val="28"/>
      <w:lang w:val="en-US" w:eastAsia="en-US"/>
    </w:rPr>
  </w:style>
  <w:style w:type="character" w:styleId="817">
    <w:name w:val="Гиперссылка"/>
    <w:uiPriority w:val="99"/>
    <w:qFormat/>
    <w:rPr>
      <w:color w:val="0000ff"/>
      <w:u w:val="single"/>
    </w:rPr>
  </w:style>
  <w:style w:type="character" w:styleId="818">
    <w:name w:val="Текст выноски Знак"/>
    <w:uiPriority w:val="99"/>
    <w:qFormat/>
    <w:rPr>
      <w:rFonts w:ascii="Tahoma" w:hAnsi="Tahoma" w:cs="Tahoma"/>
      <w:sz w:val="16"/>
      <w:szCs w:val="16"/>
    </w:rPr>
  </w:style>
  <w:style w:type="character" w:styleId="819">
    <w:name w:val="Верхний колонтитул Знак"/>
    <w:uiPriority w:val="99"/>
    <w:qFormat/>
    <w:rPr>
      <w:sz w:val="24"/>
      <w:szCs w:val="24"/>
    </w:rPr>
  </w:style>
  <w:style w:type="character" w:styleId="820">
    <w:name w:val="Нижний колонтитул Знак"/>
    <w:uiPriority w:val="99"/>
    <w:qFormat/>
    <w:rPr>
      <w:sz w:val="24"/>
      <w:szCs w:val="24"/>
    </w:rPr>
  </w:style>
  <w:style w:type="character" w:styleId="821">
    <w:name w:val="Основной текст 2 Знак"/>
    <w:uiPriority w:val="99"/>
    <w:qFormat/>
    <w:rPr>
      <w:color w:val="000000"/>
      <w:sz w:val="24"/>
      <w:szCs w:val="24"/>
      <w:lang w:val="en-US" w:eastAsia="en-US"/>
    </w:rPr>
  </w:style>
  <w:style w:type="character" w:styleId="822">
    <w:name w:val="Основной текст с отступом 3 Знак"/>
    <w:uiPriority w:val="99"/>
    <w:qFormat/>
    <w:rPr>
      <w:sz w:val="16"/>
      <w:szCs w:val="16"/>
      <w:lang w:val="en-US" w:eastAsia="en-US"/>
    </w:rPr>
  </w:style>
  <w:style w:type="character" w:styleId="823">
    <w:name w:val="Font Style11"/>
    <w:qFormat/>
    <w:rPr>
      <w:rFonts w:ascii="Franklin Gothic Medium" w:hAnsi="Franklin Gothic Medium" w:cs="Franklin Gothic Medium"/>
      <w:sz w:val="22"/>
      <w:szCs w:val="22"/>
    </w:rPr>
  </w:style>
  <w:style w:type="character" w:styleId="824">
    <w:name w:val="Font Style15"/>
    <w:qFormat/>
    <w:rPr>
      <w:rFonts w:ascii="Times New Roman" w:hAnsi="Times New Roman" w:cs="Times New Roman"/>
      <w:b/>
      <w:bCs/>
      <w:sz w:val="20"/>
      <w:szCs w:val="20"/>
    </w:rPr>
  </w:style>
  <w:style w:type="character" w:styleId="825">
    <w:name w:val="Font Style22"/>
    <w:qFormat/>
    <w:rPr>
      <w:rFonts w:ascii="Times New Roman" w:hAnsi="Times New Roman" w:cs="Times New Roman"/>
      <w:sz w:val="20"/>
      <w:szCs w:val="20"/>
    </w:rPr>
  </w:style>
  <w:style w:type="character" w:styleId="826">
    <w:name w:val="Основной текст с отступом Знак1"/>
    <w:uiPriority w:val="99"/>
    <w:semiHidden/>
    <w:qFormat/>
    <w:rPr>
      <w:rFonts w:ascii="Arial" w:hAnsi="Arial"/>
      <w:sz w:val="24"/>
      <w:lang w:val="en-US" w:eastAsia="en-US"/>
    </w:rPr>
  </w:style>
  <w:style w:type="character" w:styleId="827">
    <w:name w:val="Основной текст с отступом Знак"/>
    <w:uiPriority w:val="99"/>
    <w:semiHidden/>
    <w:qFormat/>
    <w:rPr>
      <w:sz w:val="24"/>
      <w:szCs w:val="24"/>
    </w:rPr>
  </w:style>
  <w:style w:type="character" w:styleId="828">
    <w:name w:val="Основной текст 3 Знак1"/>
    <w:uiPriority w:val="99"/>
    <w:semiHidden/>
    <w:qFormat/>
    <w:rPr>
      <w:rFonts w:ascii="Arial" w:hAnsi="Arial"/>
      <w:sz w:val="28"/>
      <w:szCs w:val="24"/>
      <w:lang w:val="en-US" w:eastAsia="en-US"/>
    </w:rPr>
  </w:style>
  <w:style w:type="character" w:styleId="829">
    <w:name w:val="Основной текст 3 Знак"/>
    <w:uiPriority w:val="99"/>
    <w:semiHidden/>
    <w:qFormat/>
    <w:rPr>
      <w:sz w:val="16"/>
      <w:szCs w:val="16"/>
    </w:rPr>
  </w:style>
  <w:style w:type="character" w:styleId="830">
    <w:name w:val="Основной текст с отступом 2 Знак"/>
    <w:uiPriority w:val="99"/>
    <w:qFormat/>
    <w:rPr>
      <w:sz w:val="28"/>
      <w:lang w:val="en-US" w:eastAsia="en-US"/>
    </w:rPr>
  </w:style>
  <w:style w:type="character" w:styleId="831">
    <w:name w:val="Просмотренная гиперссылка"/>
    <w:uiPriority w:val="99"/>
    <w:semiHidden/>
    <w:unhideWhenUsed/>
    <w:qFormat/>
    <w:rPr>
      <w:color w:val="800080"/>
      <w:u w:val="single"/>
    </w:rPr>
  </w:style>
  <w:style w:type="character" w:styleId="832">
    <w:name w:val="ng-binding"/>
    <w:basedOn w:val="813"/>
    <w:qFormat/>
  </w:style>
  <w:style w:type="character" w:styleId="833">
    <w:name w:val="Знак примечания"/>
    <w:uiPriority w:val="99"/>
    <w:semiHidden/>
    <w:unhideWhenUsed/>
    <w:qFormat/>
    <w:rPr>
      <w:sz w:val="16"/>
      <w:szCs w:val="16"/>
    </w:rPr>
  </w:style>
  <w:style w:type="character" w:styleId="834">
    <w:name w:val="Текст примечания Знак"/>
    <w:basedOn w:val="813"/>
    <w:uiPriority w:val="99"/>
    <w:semiHidden/>
    <w:qFormat/>
  </w:style>
  <w:style w:type="character" w:styleId="835">
    <w:name w:val="Тема примечания Знак"/>
    <w:uiPriority w:val="99"/>
    <w:semiHidden/>
    <w:qFormat/>
    <w:rPr>
      <w:b/>
      <w:bCs/>
    </w:rPr>
  </w:style>
  <w:style w:type="character" w:styleId="836" w:default="1">
    <w:name w:val="Default Paragraph Font"/>
    <w:uiPriority w:val="1"/>
    <w:semiHidden/>
    <w:unhideWhenUsed/>
    <w:qFormat/>
  </w:style>
  <w:style w:type="paragraph" w:styleId="837">
    <w:name w:val="Заголовок"/>
    <w:basedOn w:val="780"/>
    <w:next w:val="838"/>
    <w:qFormat/>
    <w:pPr>
      <w:keepNext/>
      <w:spacing w:before="240" w:after="120"/>
    </w:pPr>
    <w:rPr>
      <w:rFonts w:ascii="Open Sans" w:hAnsi="Open Sans" w:eastAsia="Droid Sans Fallback" w:cs="Lohit Devanagari"/>
      <w:sz w:val="28"/>
      <w:szCs w:val="28"/>
    </w:rPr>
  </w:style>
  <w:style w:type="paragraph" w:styleId="838">
    <w:name w:val="Body Text"/>
    <w:basedOn w:val="780"/>
    <w:pPr>
      <w:spacing w:before="0" w:after="140" w:line="276" w:lineRule="auto"/>
    </w:pPr>
  </w:style>
  <w:style w:type="paragraph" w:styleId="839">
    <w:name w:val="List"/>
    <w:basedOn w:val="838"/>
    <w:rPr>
      <w:rFonts w:cs="Lohit Devanagari"/>
    </w:rPr>
  </w:style>
  <w:style w:type="paragraph" w:styleId="840">
    <w:name w:val="Caption"/>
    <w:basedOn w:val="780"/>
    <w:uiPriority w:val="35"/>
    <w:semiHidden/>
    <w:unhideWhenUsed/>
    <w:qFormat/>
    <w:pPr>
      <w:spacing w:line="276" w:lineRule="auto"/>
    </w:pPr>
    <w:rPr>
      <w:b/>
      <w:bCs/>
      <w:color w:val="4f81bd" w:themeColor="accent1"/>
      <w:sz w:val="18"/>
      <w:szCs w:val="18"/>
    </w:rPr>
  </w:style>
  <w:style w:type="paragraph" w:styleId="841">
    <w:name w:val="Указатель"/>
    <w:basedOn w:val="780"/>
    <w:qFormat/>
    <w:pPr>
      <w:suppressLineNumbers/>
    </w:pPr>
    <w:rPr>
      <w:rFonts w:cs="Lohit Devanagari"/>
    </w:rPr>
  </w:style>
  <w:style w:type="paragraph" w:styleId="842">
    <w:name w:val="List Paragraph"/>
    <w:basedOn w:val="780"/>
    <w:uiPriority w:val="34"/>
    <w:qFormat/>
    <w:pPr>
      <w:spacing w:before="0" w:after="0"/>
      <w:ind w:left="720"/>
      <w:contextualSpacing/>
    </w:pPr>
  </w:style>
  <w:style w:type="paragraph" w:styleId="843">
    <w:name w:val="No Spacing"/>
    <w:uiPriority w:val="1"/>
    <w:qFormat/>
    <w:pPr>
      <w:widowControl/>
      <w:spacing w:before="0" w:after="0" w:line="240" w:lineRule="auto"/>
      <w:jc w:val="left"/>
    </w:pPr>
    <w:rPr>
      <w:rFonts w:ascii="Times New Roman" w:hAnsi="Times New Roman" w:eastAsia="Droid Sans Fallback" w:cs="Lohit Devanagari"/>
      <w:color w:val="auto"/>
      <w:sz w:val="20"/>
      <w:szCs w:val="20"/>
      <w:lang w:val="ru-RU" w:eastAsia="zh-CN" w:bidi="ar-SA"/>
    </w:rPr>
  </w:style>
  <w:style w:type="paragraph" w:styleId="844">
    <w:name w:val="Title"/>
    <w:basedOn w:val="780"/>
    <w:uiPriority w:val="10"/>
    <w:qFormat/>
    <w:pPr>
      <w:spacing w:before="300" w:after="200"/>
      <w:contextualSpacing/>
    </w:pPr>
    <w:rPr>
      <w:sz w:val="48"/>
      <w:szCs w:val="48"/>
    </w:rPr>
  </w:style>
  <w:style w:type="paragraph" w:styleId="845">
    <w:name w:val="Subtitle"/>
    <w:basedOn w:val="780"/>
    <w:uiPriority w:val="11"/>
    <w:qFormat/>
    <w:pPr>
      <w:spacing w:before="200" w:after="200"/>
    </w:pPr>
    <w:rPr>
      <w:sz w:val="24"/>
      <w:szCs w:val="24"/>
    </w:rPr>
  </w:style>
  <w:style w:type="paragraph" w:styleId="846">
    <w:name w:val="Quote"/>
    <w:basedOn w:val="780"/>
    <w:uiPriority w:val="29"/>
    <w:qFormat/>
    <w:pPr>
      <w:ind w:left="720" w:right="720"/>
    </w:pPr>
    <w:rPr>
      <w:i/>
    </w:rPr>
  </w:style>
  <w:style w:type="paragraph" w:styleId="847">
    <w:name w:val="Intense Quote"/>
    <w:basedOn w:val="780"/>
    <w:uiPriority w:val="30"/>
    <w:qFormat/>
    <w:pPr>
      <w:pBdr>
        <w:top w:val="single" w:color="FFFFFF" w:sz="4" w:space="5"/>
        <w:left w:val="single" w:color="FFFFFF" w:sz="4" w:space="10"/>
        <w:bottom w:val="single" w:color="FFFFFF" w:sz="4" w:space="5"/>
        <w:right w:val="single" w:color="FFFFFF" w:sz="4" w:space="10"/>
      </w:pBdr>
      <w:shd w:val="clear" w:color="auto" w:fill="f2f2f2"/>
      <w:spacing w:before="0" w:after="0"/>
      <w:ind w:left="720" w:right="720"/>
    </w:pPr>
    <w:rPr>
      <w:i/>
    </w:rPr>
  </w:style>
  <w:style w:type="paragraph" w:styleId="848">
    <w:name w:val="Колонтитул"/>
    <w:basedOn w:val="780"/>
    <w:qFormat/>
  </w:style>
  <w:style w:type="paragraph" w:styleId="849">
    <w:name w:val="Header"/>
    <w:basedOn w:val="780"/>
    <w:uiPriority w:val="99"/>
    <w:unhideWhenUsed/>
    <w:pPr>
      <w:tabs>
        <w:tab w:val="clear" w:pos="708" w:leader="none"/>
        <w:tab w:val="center" w:pos="4677" w:leader="none"/>
        <w:tab w:val="right" w:pos="9355" w:leader="none"/>
      </w:tabs>
    </w:pPr>
    <w:rPr>
      <w:lang w:val="en-US" w:eastAsia="en-US"/>
    </w:rPr>
  </w:style>
  <w:style w:type="paragraph" w:styleId="850">
    <w:name w:val="Footer"/>
    <w:basedOn w:val="780"/>
    <w:uiPriority w:val="99"/>
    <w:unhideWhenUsed/>
    <w:pPr>
      <w:tabs>
        <w:tab w:val="clear" w:pos="708" w:leader="none"/>
        <w:tab w:val="center" w:pos="4677" w:leader="none"/>
        <w:tab w:val="right" w:pos="9355" w:leader="none"/>
      </w:tabs>
    </w:pPr>
    <w:rPr>
      <w:lang w:val="en-US" w:eastAsia="en-US"/>
    </w:rPr>
  </w:style>
  <w:style w:type="paragraph" w:styleId="851">
    <w:name w:val="footnote text"/>
    <w:basedOn w:val="780"/>
    <w:uiPriority w:val="99"/>
    <w:semiHidden/>
    <w:unhideWhenUsed/>
    <w:pPr>
      <w:spacing w:before="0" w:after="40" w:line="240" w:lineRule="auto"/>
    </w:pPr>
    <w:rPr>
      <w:sz w:val="18"/>
    </w:rPr>
  </w:style>
  <w:style w:type="paragraph" w:styleId="852">
    <w:name w:val="endnote text"/>
    <w:basedOn w:val="780"/>
    <w:uiPriority w:val="99"/>
    <w:semiHidden/>
    <w:unhideWhenUsed/>
    <w:pPr>
      <w:spacing w:before="0" w:after="0" w:line="240" w:lineRule="auto"/>
    </w:pPr>
    <w:rPr>
      <w:sz w:val="20"/>
    </w:rPr>
  </w:style>
  <w:style w:type="paragraph" w:styleId="853">
    <w:name w:val="toc 1"/>
    <w:basedOn w:val="780"/>
    <w:uiPriority w:val="39"/>
    <w:unhideWhenUsed/>
    <w:pPr>
      <w:spacing w:before="0" w:after="57"/>
      <w:ind w:left="0" w:right="0" w:firstLine="0"/>
    </w:pPr>
  </w:style>
  <w:style w:type="paragraph" w:styleId="854">
    <w:name w:val="toc 2"/>
    <w:basedOn w:val="780"/>
    <w:uiPriority w:val="39"/>
    <w:unhideWhenUsed/>
    <w:pPr>
      <w:spacing w:before="0" w:after="57"/>
      <w:ind w:left="283" w:right="0" w:firstLine="0"/>
    </w:pPr>
  </w:style>
  <w:style w:type="paragraph" w:styleId="855">
    <w:name w:val="toc 3"/>
    <w:basedOn w:val="780"/>
    <w:uiPriority w:val="39"/>
    <w:unhideWhenUsed/>
    <w:pPr>
      <w:spacing w:before="0" w:after="57"/>
      <w:ind w:left="567" w:right="0" w:firstLine="0"/>
    </w:pPr>
  </w:style>
  <w:style w:type="paragraph" w:styleId="856">
    <w:name w:val="toc 4"/>
    <w:basedOn w:val="780"/>
    <w:uiPriority w:val="39"/>
    <w:unhideWhenUsed/>
    <w:pPr>
      <w:spacing w:before="0" w:after="57"/>
      <w:ind w:left="850" w:right="0" w:firstLine="0"/>
    </w:pPr>
  </w:style>
  <w:style w:type="paragraph" w:styleId="857">
    <w:name w:val="toc 5"/>
    <w:basedOn w:val="780"/>
    <w:uiPriority w:val="39"/>
    <w:unhideWhenUsed/>
    <w:pPr>
      <w:spacing w:before="0" w:after="57"/>
      <w:ind w:left="1134" w:right="0" w:firstLine="0"/>
    </w:pPr>
  </w:style>
  <w:style w:type="paragraph" w:styleId="858">
    <w:name w:val="toc 6"/>
    <w:basedOn w:val="780"/>
    <w:uiPriority w:val="39"/>
    <w:unhideWhenUsed/>
    <w:pPr>
      <w:spacing w:before="0" w:after="57"/>
      <w:ind w:left="1417" w:right="0" w:firstLine="0"/>
    </w:pPr>
  </w:style>
  <w:style w:type="paragraph" w:styleId="859">
    <w:name w:val="toc 7"/>
    <w:basedOn w:val="780"/>
    <w:uiPriority w:val="39"/>
    <w:unhideWhenUsed/>
    <w:pPr>
      <w:spacing w:before="0" w:after="57"/>
      <w:ind w:left="1701" w:right="0" w:firstLine="0"/>
    </w:pPr>
  </w:style>
  <w:style w:type="paragraph" w:styleId="860">
    <w:name w:val="toc 8"/>
    <w:basedOn w:val="780"/>
    <w:uiPriority w:val="39"/>
    <w:unhideWhenUsed/>
    <w:pPr>
      <w:spacing w:before="0" w:after="57"/>
      <w:ind w:left="1984" w:right="0" w:firstLine="0"/>
    </w:pPr>
  </w:style>
  <w:style w:type="paragraph" w:styleId="861">
    <w:name w:val="toc 9"/>
    <w:basedOn w:val="780"/>
    <w:uiPriority w:val="39"/>
    <w:unhideWhenUsed/>
    <w:pPr>
      <w:spacing w:before="0" w:after="57"/>
      <w:ind w:left="2268" w:right="0" w:firstLine="0"/>
    </w:pPr>
  </w:style>
  <w:style w:type="paragraph" w:styleId="862">
    <w:name w:val="Index Heading"/>
    <w:basedOn w:val="837"/>
  </w:style>
  <w:style w:type="paragraph" w:styleId="863">
    <w:name w:val="TOC Heading"/>
    <w:uiPriority w:val="39"/>
    <w:unhideWhenUsed/>
    <w:qFormat/>
    <w:pPr>
      <w:widowControl/>
      <w:spacing w:before="0" w:after="0"/>
      <w:jc w:val="left"/>
    </w:pPr>
    <w:rPr>
      <w:rFonts w:ascii="Times New Roman" w:hAnsi="Times New Roman" w:eastAsia="Droid Sans Fallback" w:cs="Lohit Devanagari"/>
      <w:color w:val="auto"/>
      <w:sz w:val="20"/>
      <w:szCs w:val="20"/>
      <w:lang w:val="ru-RU" w:eastAsia="zh-CN" w:bidi="ar-SA"/>
    </w:rPr>
  </w:style>
  <w:style w:type="paragraph" w:styleId="864">
    <w:name w:val="table of figures"/>
    <w:basedOn w:val="780"/>
    <w:uiPriority w:val="99"/>
    <w:unhideWhenUsed/>
    <w:pPr>
      <w:spacing w:before="0" w:after="0" w:afterAutospacing="0"/>
    </w:pPr>
  </w:style>
  <w:style w:type="paragraph" w:styleId="865">
    <w:name w:val="Текст выноски"/>
    <w:basedOn w:val="780"/>
    <w:uiPriority w:val="99"/>
    <w:qFormat/>
    <w:rPr>
      <w:rFonts w:ascii="Tahoma" w:hAnsi="Tahoma"/>
      <w:sz w:val="16"/>
      <w:szCs w:val="16"/>
      <w:lang w:val="en-US" w:eastAsia="en-US"/>
    </w:rPr>
  </w:style>
  <w:style w:type="paragraph" w:styleId="866">
    <w:name w:val="ConsPlusNormal"/>
    <w:uiPriority w:val="99"/>
    <w:qFormat/>
    <w:pPr>
      <w:widowControl w:val="off"/>
      <w:spacing w:before="0" w:after="0"/>
      <w:ind w:firstLine="720"/>
      <w:jc w:val="left"/>
    </w:pPr>
    <w:rPr>
      <w:rFonts w:ascii="Arial" w:hAnsi="Arial" w:eastAsia="Droid Sans Fallback" w:cs="Arial"/>
      <w:color w:val="auto"/>
      <w:sz w:val="20"/>
      <w:szCs w:val="20"/>
      <w:lang w:val="ru-RU" w:eastAsia="ru-RU" w:bidi="ar-SA"/>
    </w:rPr>
  </w:style>
  <w:style w:type="paragraph" w:styleId="867">
    <w:name w:val="ConsPlusTitle"/>
    <w:uiPriority w:val="99"/>
    <w:qFormat/>
    <w:pPr>
      <w:widowControl w:val="off"/>
      <w:spacing w:before="0" w:after="0"/>
      <w:jc w:val="left"/>
    </w:pPr>
    <w:rPr>
      <w:rFonts w:ascii="Times New Roman" w:hAnsi="Times New Roman" w:eastAsia="Droid Sans Fallback" w:cs="Lohit Devanagari"/>
      <w:b/>
      <w:bCs/>
      <w:color w:val="auto"/>
      <w:sz w:val="24"/>
      <w:szCs w:val="24"/>
      <w:lang w:val="ru-RU" w:eastAsia="ru-RU" w:bidi="ar-SA"/>
    </w:rPr>
  </w:style>
  <w:style w:type="paragraph" w:styleId="868">
    <w:name w:val="Основной текст 2"/>
    <w:basedOn w:val="780"/>
    <w:uiPriority w:val="99"/>
    <w:unhideWhenUsed/>
    <w:qFormat/>
    <w:pPr>
      <w:spacing w:before="140" w:after="140"/>
      <w:ind w:firstLine="240"/>
    </w:pPr>
    <w:rPr>
      <w:color w:val="000000"/>
      <w:lang w:val="en-US" w:eastAsia="en-US"/>
    </w:rPr>
  </w:style>
  <w:style w:type="paragraph" w:styleId="869">
    <w:name w:val="Основной текст с отступом 3"/>
    <w:basedOn w:val="780"/>
    <w:uiPriority w:val="99"/>
    <w:qFormat/>
    <w:pPr>
      <w:spacing w:before="0" w:after="120"/>
      <w:ind w:left="283"/>
    </w:pPr>
    <w:rPr>
      <w:sz w:val="16"/>
      <w:szCs w:val="16"/>
      <w:lang w:val="en-US" w:eastAsia="en-US"/>
    </w:rPr>
  </w:style>
  <w:style w:type="paragraph" w:styleId="870">
    <w:name w:val="Body Text Indent"/>
    <w:basedOn w:val="780"/>
    <w:uiPriority w:val="99"/>
    <w:semiHidden/>
    <w:unhideWhenUsed/>
    <w:pPr>
      <w:spacing w:before="0" w:after="120"/>
      <w:ind w:left="283"/>
    </w:pPr>
    <w:rPr>
      <w:rFonts w:ascii="Arial" w:hAnsi="Arial"/>
      <w:szCs w:val="20"/>
      <w:lang w:val="en-US" w:eastAsia="en-US"/>
    </w:rPr>
  </w:style>
  <w:style w:type="paragraph" w:styleId="871">
    <w:name w:val="Основной текст 3"/>
    <w:basedOn w:val="780"/>
    <w:uiPriority w:val="99"/>
    <w:semiHidden/>
    <w:unhideWhenUsed/>
    <w:qFormat/>
    <w:rPr>
      <w:rFonts w:ascii="Arial" w:hAnsi="Arial"/>
      <w:sz w:val="28"/>
      <w:lang w:val="en-US" w:eastAsia="en-US"/>
    </w:rPr>
  </w:style>
  <w:style w:type="paragraph" w:styleId="872">
    <w:name w:val="ConsPlusNonformat"/>
    <w:uiPriority w:val="99"/>
    <w:qFormat/>
    <w:pPr>
      <w:widowControl/>
      <w:spacing w:before="0" w:after="0"/>
      <w:jc w:val="left"/>
    </w:pPr>
    <w:rPr>
      <w:rFonts w:ascii="Courier New" w:hAnsi="Courier New" w:eastAsia="Droid Sans Fallback" w:cs="Courier New"/>
      <w:color w:val="auto"/>
      <w:sz w:val="20"/>
      <w:szCs w:val="20"/>
      <w:lang w:val="ru-RU" w:eastAsia="ru-RU" w:bidi="ar-SA"/>
    </w:rPr>
  </w:style>
  <w:style w:type="paragraph" w:styleId="873">
    <w:name w:val="Основной текст с отступом 2"/>
    <w:basedOn w:val="780"/>
    <w:uiPriority w:val="99"/>
    <w:qFormat/>
    <w:pPr>
      <w:ind w:firstLine="709"/>
      <w:jc w:val="both"/>
    </w:pPr>
    <w:rPr>
      <w:sz w:val="28"/>
      <w:szCs w:val="20"/>
      <w:lang w:val="en-US" w:eastAsia="en-US"/>
    </w:rPr>
  </w:style>
  <w:style w:type="paragraph" w:styleId="874">
    <w:name w:val="Без интервала"/>
    <w:uiPriority w:val="1"/>
    <w:qFormat/>
    <w:pPr>
      <w:widowControl/>
      <w:spacing w:before="0" w:after="0"/>
      <w:jc w:val="left"/>
    </w:pPr>
    <w:rPr>
      <w:rFonts w:ascii="Calibri" w:hAnsi="Calibri" w:eastAsia="Calibri" w:cs="Lohit Devanagari"/>
      <w:color w:val="auto"/>
      <w:sz w:val="22"/>
      <w:szCs w:val="22"/>
      <w:lang w:val="ru-RU" w:eastAsia="en-US" w:bidi="ar-SA"/>
    </w:rPr>
  </w:style>
  <w:style w:type="paragraph" w:styleId="875">
    <w:name w:val="standard"/>
    <w:basedOn w:val="780"/>
    <w:uiPriority w:val="99"/>
    <w:qFormat/>
    <w:pPr>
      <w:spacing w:beforeAutospacing="1" w:afterAutospacing="1"/>
    </w:pPr>
  </w:style>
  <w:style w:type="paragraph" w:styleId="876">
    <w:name w:val="Body Text Indent 2"/>
    <w:basedOn w:val="780"/>
    <w:uiPriority w:val="99"/>
    <w:qFormat/>
    <w:pPr>
      <w:ind w:firstLine="709"/>
      <w:jc w:val="both"/>
    </w:pPr>
    <w:rPr>
      <w:sz w:val="28"/>
      <w:szCs w:val="20"/>
    </w:rPr>
  </w:style>
  <w:style w:type="paragraph" w:styleId="877">
    <w:name w:val="Style1"/>
    <w:basedOn w:val="780"/>
    <w:uiPriority w:val="99"/>
    <w:qFormat/>
    <w:pPr>
      <w:widowControl w:val="off"/>
      <w:spacing w:line="278" w:lineRule="exact"/>
    </w:pPr>
    <w:rPr>
      <w:rFonts w:ascii="Franklin Gothic Medium" w:hAnsi="Franklin Gothic Medium" w:cs="Franklin Gothic Medium"/>
    </w:rPr>
  </w:style>
  <w:style w:type="paragraph" w:styleId="878">
    <w:name w:val="Style9"/>
    <w:basedOn w:val="780"/>
    <w:uiPriority w:val="99"/>
    <w:qFormat/>
    <w:pPr>
      <w:widowControl w:val="off"/>
      <w:spacing w:line="262" w:lineRule="exact"/>
    </w:pPr>
    <w:rPr>
      <w:rFonts w:ascii="Bookman Old Style" w:hAnsi="Bookman Old Style" w:cs="Bookman Old Style"/>
    </w:rPr>
  </w:style>
  <w:style w:type="paragraph" w:styleId="879">
    <w:name w:val="Style3"/>
    <w:basedOn w:val="780"/>
    <w:uiPriority w:val="99"/>
    <w:qFormat/>
    <w:pPr>
      <w:widowControl w:val="off"/>
      <w:spacing w:line="249" w:lineRule="exact"/>
      <w:jc w:val="center"/>
    </w:pPr>
    <w:rPr>
      <w:rFonts w:ascii="Bookman Old Style" w:hAnsi="Bookman Old Style" w:cs="Bookman Old Style"/>
    </w:rPr>
  </w:style>
  <w:style w:type="paragraph" w:styleId="880">
    <w:name w:val="Style6"/>
    <w:basedOn w:val="780"/>
    <w:uiPriority w:val="99"/>
    <w:qFormat/>
    <w:pPr>
      <w:widowControl w:val="off"/>
      <w:spacing w:line="250" w:lineRule="exact"/>
    </w:pPr>
    <w:rPr>
      <w:rFonts w:ascii="Bookman Old Style" w:hAnsi="Bookman Old Style" w:cs="Bookman Old Style"/>
    </w:rPr>
  </w:style>
  <w:style w:type="paragraph" w:styleId="881">
    <w:name w:val="Обычный (веб)"/>
    <w:basedOn w:val="780"/>
    <w:uiPriority w:val="99"/>
    <w:unhideWhenUsed/>
    <w:qFormat/>
    <w:pPr>
      <w:spacing w:beforeAutospacing="1" w:after="119"/>
    </w:pPr>
  </w:style>
  <w:style w:type="paragraph" w:styleId="882">
    <w:name w:val="msonormal_mailru_css_attribute_postfix"/>
    <w:basedOn w:val="780"/>
    <w:qFormat/>
    <w:pPr>
      <w:spacing w:beforeAutospacing="1" w:afterAutospacing="1"/>
    </w:pPr>
    <w:rPr>
      <w:rFonts w:eastAsia="Calibri"/>
    </w:rPr>
  </w:style>
  <w:style w:type="paragraph" w:styleId="883">
    <w:name w:val="Текст примечания"/>
    <w:basedOn w:val="780"/>
    <w:uiPriority w:val="99"/>
    <w:semiHidden/>
    <w:unhideWhenUsed/>
    <w:qFormat/>
    <w:rPr>
      <w:sz w:val="20"/>
      <w:szCs w:val="20"/>
    </w:rPr>
  </w:style>
  <w:style w:type="paragraph" w:styleId="884">
    <w:name w:val="Тема примечания"/>
    <w:basedOn w:val="883"/>
    <w:uiPriority w:val="99"/>
    <w:semiHidden/>
    <w:unhideWhenUsed/>
    <w:qFormat/>
    <w:rPr>
      <w:b/>
      <w:bCs/>
    </w:rPr>
  </w:style>
  <w:style w:type="paragraph" w:styleId="885">
    <w:name w:val="Содержимое врезки"/>
    <w:basedOn w:val="780"/>
    <w:qFormat/>
  </w:style>
  <w:style w:type="numbering" w:styleId="886">
    <w:name w:val="Нет списка"/>
    <w:uiPriority w:val="99"/>
    <w:semiHidden/>
    <w:qFormat/>
  </w:style>
  <w:style w:type="numbering" w:styleId="887">
    <w:name w:val="Нет списка1"/>
    <w:uiPriority w:val="99"/>
    <w:semiHidden/>
    <w:qFormat/>
  </w:style>
  <w:style w:type="numbering" w:styleId="888">
    <w:name w:val="Нет списка2"/>
    <w:uiPriority w:val="99"/>
    <w:semiHidden/>
    <w:unhideWhenUsed/>
    <w:qFormat/>
  </w:style>
  <w:style w:type="numbering" w:styleId="889">
    <w:name w:val="Нет списка3"/>
    <w:uiPriority w:val="99"/>
    <w:semiHidden/>
    <w:qFormat/>
  </w:style>
  <w:style w:type="numbering" w:styleId="890">
    <w:name w:val="Нет списка4"/>
    <w:uiPriority w:val="99"/>
    <w:semiHidden/>
    <w:qFormat/>
  </w:style>
  <w:style w:type="numbering" w:styleId="891">
    <w:name w:val="Нет списка5"/>
    <w:uiPriority w:val="99"/>
    <w:semiHidden/>
    <w:unhideWhenUsed/>
    <w:qFormat/>
  </w:style>
  <w:style w:type="numbering" w:styleId="892" w:default="1">
    <w:name w:val="No List"/>
    <w:uiPriority w:val="99"/>
    <w:semiHidden/>
    <w:unhideWhenUsed/>
    <w:qFormat/>
  </w:style>
  <w:style w:type="table" w:styleId="893"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a:ln w="25400"/>
        <a:ln w="38100"/>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Р7-Офис/2024.4.1.630</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subject/>
  <dc:creator>sandalovei</dc:creator>
  <dc:description/>
  <dc:language>ru-RU</dc:language>
  <cp:lastModifiedBy>dremov_is</cp:lastModifiedBy>
  <cp:revision>29</cp:revision>
  <dcterms:created xsi:type="dcterms:W3CDTF">2024-02-26T09:45:00Z</dcterms:created>
  <dcterms:modified xsi:type="dcterms:W3CDTF">2025-09-23T04:34:26Z</dcterms:modified>
  <cp:version>983040</cp:version>
</cp:coreProperties>
</file>

<file path=docProps/custom.xml><?xml version="1.0" encoding="utf-8"?>
<Properties xmlns="http://schemas.openxmlformats.org/officeDocument/2006/custom-properties" xmlns:vt="http://schemas.openxmlformats.org/officeDocument/2006/docPropsVTypes"/>
</file>